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C189D" w14:textId="77777777" w:rsidR="00B3068B" w:rsidRDefault="00B3068B" w:rsidP="00B3068B">
      <w:pPr>
        <w:spacing w:line="240" w:lineRule="auto"/>
        <w:jc w:val="center"/>
        <w:rPr>
          <w:rFonts w:cs="Times New Roman (Cuerpo en alfa"/>
          <w:b/>
        </w:rPr>
      </w:pPr>
      <w:proofErr w:type="spellStart"/>
      <w:r>
        <w:rPr>
          <w:rFonts w:cstheme="minorHAnsi"/>
          <w:b/>
          <w:szCs w:val="24"/>
        </w:rPr>
        <w:t>Title</w:t>
      </w:r>
      <w:proofErr w:type="spellEnd"/>
      <w:r>
        <w:rPr>
          <w:rFonts w:cstheme="minorHAnsi"/>
          <w:b/>
          <w:szCs w:val="24"/>
        </w:rPr>
        <w:t xml:space="preserve">: </w:t>
      </w:r>
      <w:proofErr w:type="spellStart"/>
      <w:r>
        <w:rPr>
          <w:rFonts w:cstheme="minorHAnsi"/>
          <w:b/>
          <w:szCs w:val="24"/>
        </w:rPr>
        <w:t>Engineering</w:t>
      </w:r>
      <w:proofErr w:type="spellEnd"/>
      <w:r>
        <w:rPr>
          <w:rFonts w:cstheme="minorHAnsi"/>
          <w:b/>
          <w:szCs w:val="24"/>
        </w:rPr>
        <w:t xml:space="preserve"> </w:t>
      </w:r>
      <w:proofErr w:type="spellStart"/>
      <w:r>
        <w:rPr>
          <w:rFonts w:cstheme="minorHAnsi"/>
          <w:b/>
          <w:szCs w:val="24"/>
        </w:rPr>
        <w:t>education</w:t>
      </w:r>
      <w:proofErr w:type="spellEnd"/>
      <w:r>
        <w:rPr>
          <w:rFonts w:cstheme="minorHAnsi"/>
          <w:b/>
          <w:szCs w:val="24"/>
        </w:rPr>
        <w:t xml:space="preserve">: </w:t>
      </w:r>
      <w:proofErr w:type="spellStart"/>
      <w:r>
        <w:rPr>
          <w:rFonts w:cstheme="minorHAnsi"/>
          <w:b/>
          <w:szCs w:val="24"/>
        </w:rPr>
        <w:t>an</w:t>
      </w:r>
      <w:proofErr w:type="spellEnd"/>
      <w:r>
        <w:rPr>
          <w:rFonts w:cstheme="minorHAnsi"/>
          <w:b/>
          <w:szCs w:val="24"/>
        </w:rPr>
        <w:t xml:space="preserve"> </w:t>
      </w:r>
      <w:proofErr w:type="spellStart"/>
      <w:r>
        <w:rPr>
          <w:rFonts w:cstheme="minorHAnsi"/>
          <w:b/>
          <w:szCs w:val="24"/>
        </w:rPr>
        <w:t>approach</w:t>
      </w:r>
      <w:proofErr w:type="spellEnd"/>
      <w:r>
        <w:rPr>
          <w:rFonts w:cstheme="minorHAnsi"/>
          <w:b/>
          <w:szCs w:val="24"/>
        </w:rPr>
        <w:t xml:space="preserve"> </w:t>
      </w:r>
      <w:proofErr w:type="spellStart"/>
      <w:r>
        <w:rPr>
          <w:rFonts w:cstheme="minorHAnsi"/>
          <w:b/>
          <w:szCs w:val="24"/>
        </w:rPr>
        <w:t>from</w:t>
      </w:r>
      <w:proofErr w:type="spellEnd"/>
      <w:r>
        <w:rPr>
          <w:rFonts w:cstheme="minorHAnsi"/>
          <w:b/>
          <w:szCs w:val="24"/>
        </w:rPr>
        <w:t xml:space="preserve"> </w:t>
      </w:r>
      <w:proofErr w:type="spellStart"/>
      <w:r>
        <w:rPr>
          <w:rFonts w:cstheme="minorHAnsi"/>
          <w:b/>
          <w:szCs w:val="24"/>
        </w:rPr>
        <w:t>the</w:t>
      </w:r>
      <w:proofErr w:type="spellEnd"/>
      <w:r>
        <w:rPr>
          <w:rFonts w:cstheme="minorHAnsi"/>
          <w:b/>
          <w:szCs w:val="24"/>
        </w:rPr>
        <w:t xml:space="preserve"> </w:t>
      </w:r>
      <w:proofErr w:type="spellStart"/>
      <w:r>
        <w:rPr>
          <w:rFonts w:cstheme="minorHAnsi"/>
          <w:b/>
          <w:szCs w:val="24"/>
        </w:rPr>
        <w:t>prism</w:t>
      </w:r>
      <w:proofErr w:type="spellEnd"/>
      <w:r>
        <w:rPr>
          <w:rFonts w:cstheme="minorHAnsi"/>
          <w:b/>
          <w:szCs w:val="24"/>
        </w:rPr>
        <w:t xml:space="preserve"> </w:t>
      </w:r>
      <w:proofErr w:type="spellStart"/>
      <w:r>
        <w:rPr>
          <w:rFonts w:cstheme="minorHAnsi"/>
          <w:b/>
          <w:szCs w:val="24"/>
        </w:rPr>
        <w:t>of</w:t>
      </w:r>
      <w:proofErr w:type="spellEnd"/>
      <w:r>
        <w:rPr>
          <w:rFonts w:cstheme="minorHAnsi"/>
          <w:b/>
          <w:szCs w:val="24"/>
        </w:rPr>
        <w:t xml:space="preserve"> </w:t>
      </w:r>
      <w:proofErr w:type="spellStart"/>
      <w:r>
        <w:rPr>
          <w:rFonts w:cstheme="minorHAnsi"/>
          <w:b/>
          <w:szCs w:val="24"/>
        </w:rPr>
        <w:t>communities</w:t>
      </w:r>
      <w:proofErr w:type="spellEnd"/>
      <w:r>
        <w:rPr>
          <w:rFonts w:cstheme="minorHAnsi"/>
          <w:b/>
          <w:szCs w:val="24"/>
        </w:rPr>
        <w:t xml:space="preserve"> </w:t>
      </w:r>
      <w:proofErr w:type="spellStart"/>
      <w:r>
        <w:rPr>
          <w:rFonts w:cstheme="minorHAnsi"/>
          <w:b/>
          <w:szCs w:val="24"/>
        </w:rPr>
        <w:t>of</w:t>
      </w:r>
      <w:proofErr w:type="spellEnd"/>
      <w:r>
        <w:rPr>
          <w:rFonts w:cstheme="minorHAnsi"/>
          <w:b/>
          <w:szCs w:val="24"/>
        </w:rPr>
        <w:t xml:space="preserve"> </w:t>
      </w:r>
      <w:proofErr w:type="spellStart"/>
      <w:r>
        <w:rPr>
          <w:rFonts w:cstheme="minorHAnsi"/>
          <w:b/>
          <w:szCs w:val="24"/>
        </w:rPr>
        <w:t>practice</w:t>
      </w:r>
      <w:proofErr w:type="spellEnd"/>
      <w:r>
        <w:rPr>
          <w:rFonts w:cs="Times New Roman (Cuerpo en alfa"/>
          <w:b/>
        </w:rPr>
        <w:t xml:space="preserve"> </w:t>
      </w:r>
    </w:p>
    <w:p w14:paraId="72591580" w14:textId="77777777" w:rsidR="00B3068B" w:rsidRDefault="00B3068B" w:rsidP="00B3068B">
      <w:pPr>
        <w:spacing w:after="0" w:line="240" w:lineRule="auto"/>
        <w:jc w:val="center"/>
        <w:rPr>
          <w:rFonts w:cstheme="minorHAnsi"/>
          <w:b/>
          <w:szCs w:val="24"/>
        </w:rPr>
      </w:pPr>
      <w:r>
        <w:rPr>
          <w:rFonts w:cstheme="minorHAnsi"/>
          <w:b/>
          <w:szCs w:val="24"/>
        </w:rPr>
        <w:t>Título: La educación en ingeniería: un acercamiento desde el prisma de las comunidades de práctica.</w:t>
      </w:r>
    </w:p>
    <w:p w14:paraId="5CF54572" w14:textId="77777777" w:rsidR="00B3068B" w:rsidRDefault="00B3068B" w:rsidP="00B3068B">
      <w:pPr>
        <w:spacing w:after="0" w:line="240" w:lineRule="auto"/>
        <w:jc w:val="center"/>
        <w:rPr>
          <w:lang w:val="en-US"/>
        </w:rPr>
      </w:pPr>
      <w:r>
        <w:rPr>
          <w:lang w:val="en-US"/>
        </w:rPr>
        <w:t>Vicente Eugenio León Hernández</w:t>
      </w:r>
      <w:r>
        <w:rPr>
          <w:vertAlign w:val="superscript"/>
          <w:lang w:val="en-US"/>
        </w:rPr>
        <w:t>1</w:t>
      </w:r>
      <w:r>
        <w:rPr>
          <w:lang w:val="en-US"/>
        </w:rPr>
        <w:t xml:space="preserve">, </w:t>
      </w:r>
    </w:p>
    <w:p w14:paraId="5E9AC0DD" w14:textId="0AA7A86E" w:rsidR="00B3068B" w:rsidRDefault="00B3068B" w:rsidP="00B3068B">
      <w:pPr>
        <w:spacing w:after="0" w:line="240" w:lineRule="auto"/>
        <w:jc w:val="center"/>
        <w:rPr>
          <w:lang w:val="en-US"/>
        </w:rPr>
      </w:pPr>
      <w:proofErr w:type="spellStart"/>
      <w:r w:rsidRPr="00B3068B">
        <w:rPr>
          <w:rFonts w:cstheme="minorHAnsi"/>
          <w:szCs w:val="24"/>
          <w:lang w:val="en-US"/>
        </w:rPr>
        <w:t>Illiriam</w:t>
      </w:r>
      <w:proofErr w:type="spellEnd"/>
      <w:r w:rsidRPr="00B3068B">
        <w:rPr>
          <w:rFonts w:cstheme="minorHAnsi"/>
          <w:szCs w:val="24"/>
          <w:lang w:val="en-US"/>
        </w:rPr>
        <w:t xml:space="preserve"> Quintero </w:t>
      </w:r>
      <w:proofErr w:type="spellStart"/>
      <w:r w:rsidRPr="00B3068B">
        <w:rPr>
          <w:rFonts w:cstheme="minorHAnsi"/>
          <w:szCs w:val="24"/>
          <w:lang w:val="en-US"/>
        </w:rPr>
        <w:t>Dávila</w:t>
      </w:r>
      <w:proofErr w:type="spellEnd"/>
      <w:r w:rsidRPr="00B3068B">
        <w:rPr>
          <w:rFonts w:cstheme="minorHAnsi"/>
          <w:szCs w:val="24"/>
          <w:lang w:val="en-US"/>
        </w:rPr>
        <w:t xml:space="preserve"> </w:t>
      </w:r>
      <w:r>
        <w:rPr>
          <w:vertAlign w:val="superscript"/>
          <w:lang w:val="en-US"/>
        </w:rPr>
        <w:t>2</w:t>
      </w:r>
    </w:p>
    <w:p w14:paraId="71E5D7BE" w14:textId="606F38F5" w:rsidR="00B3068B" w:rsidRPr="00B3068B" w:rsidRDefault="00B3068B" w:rsidP="007D4831">
      <w:pPr>
        <w:spacing w:after="0" w:line="240" w:lineRule="auto"/>
        <w:jc w:val="center"/>
        <w:rPr>
          <w:rStyle w:val="Hipervnculo"/>
          <w:rFonts w:cstheme="minorHAnsi"/>
          <w:szCs w:val="24"/>
          <w:lang w:val="en-US"/>
        </w:rPr>
      </w:pPr>
      <w:r>
        <w:rPr>
          <w:vertAlign w:val="superscript"/>
          <w:lang w:val="en-US"/>
        </w:rPr>
        <w:t>1</w:t>
      </w:r>
      <w:r>
        <w:rPr>
          <w:rFonts w:cstheme="minorHAnsi"/>
          <w:szCs w:val="24"/>
          <w:lang w:val="en-US"/>
        </w:rPr>
        <w:t xml:space="preserve"> </w:t>
      </w:r>
      <w:r w:rsidRPr="00B3068B">
        <w:rPr>
          <w:rFonts w:cstheme="minorHAnsi"/>
          <w:sz w:val="24"/>
          <w:szCs w:val="24"/>
          <w:lang w:val="en-US"/>
        </w:rPr>
        <w:t xml:space="preserve">Doctor, </w:t>
      </w:r>
      <w:proofErr w:type="spellStart"/>
      <w:r w:rsidRPr="00B3068B">
        <w:rPr>
          <w:rFonts w:cstheme="minorHAnsi"/>
          <w:sz w:val="24"/>
          <w:szCs w:val="24"/>
          <w:lang w:val="en-US"/>
        </w:rPr>
        <w:t>Docente</w:t>
      </w:r>
      <w:proofErr w:type="spellEnd"/>
      <w:r w:rsidRPr="00B3068B">
        <w:rPr>
          <w:rFonts w:cstheme="minorHAnsi"/>
          <w:sz w:val="24"/>
          <w:szCs w:val="24"/>
          <w:lang w:val="en-US"/>
        </w:rPr>
        <w:t xml:space="preserve"> Universidad de Pinar del Río</w:t>
      </w:r>
      <w:r w:rsidRPr="00B3068B">
        <w:rPr>
          <w:rFonts w:cstheme="minorHAnsi"/>
          <w:szCs w:val="24"/>
          <w:lang w:val="en-US"/>
        </w:rPr>
        <w:t xml:space="preserve">, Correo: </w:t>
      </w:r>
      <w:hyperlink r:id="rId8" w:history="1">
        <w:r w:rsidRPr="00B3068B">
          <w:rPr>
            <w:rStyle w:val="Hipervnculo"/>
            <w:rFonts w:cstheme="minorHAnsi"/>
            <w:szCs w:val="24"/>
            <w:lang w:val="en-US"/>
          </w:rPr>
          <w:t>veleonh@gmail.com</w:t>
        </w:r>
      </w:hyperlink>
    </w:p>
    <w:p w14:paraId="19927EB9" w14:textId="0843D314" w:rsidR="00B3068B" w:rsidRDefault="00B3068B" w:rsidP="007D4831">
      <w:pPr>
        <w:spacing w:after="0" w:line="240" w:lineRule="auto"/>
        <w:jc w:val="center"/>
        <w:rPr>
          <w:i/>
          <w:lang w:val="en-US"/>
        </w:rPr>
      </w:pPr>
      <w:r>
        <w:rPr>
          <w:vertAlign w:val="superscript"/>
          <w:lang w:val="en-US"/>
        </w:rPr>
        <w:t>2</w:t>
      </w:r>
      <w:r>
        <w:rPr>
          <w:rFonts w:cstheme="minorHAnsi"/>
          <w:szCs w:val="24"/>
          <w:lang w:val="en-US"/>
        </w:rPr>
        <w:t xml:space="preserve"> </w:t>
      </w:r>
      <w:proofErr w:type="spellStart"/>
      <w:r w:rsidR="007D4831">
        <w:rPr>
          <w:rFonts w:cstheme="minorHAnsi"/>
          <w:sz w:val="24"/>
          <w:szCs w:val="24"/>
          <w:lang w:val="en-US"/>
        </w:rPr>
        <w:t>Doctora</w:t>
      </w:r>
      <w:proofErr w:type="spellEnd"/>
      <w:r w:rsidRPr="00B3068B">
        <w:rPr>
          <w:rFonts w:cstheme="minorHAnsi"/>
          <w:sz w:val="24"/>
          <w:szCs w:val="24"/>
          <w:lang w:val="en-US"/>
        </w:rPr>
        <w:t xml:space="preserve">, </w:t>
      </w:r>
      <w:proofErr w:type="spellStart"/>
      <w:r w:rsidRPr="00B3068B">
        <w:rPr>
          <w:rFonts w:cstheme="minorHAnsi"/>
          <w:sz w:val="24"/>
          <w:szCs w:val="24"/>
          <w:lang w:val="en-US"/>
        </w:rPr>
        <w:t>Docente</w:t>
      </w:r>
      <w:proofErr w:type="spellEnd"/>
      <w:r w:rsidRPr="00B3068B">
        <w:rPr>
          <w:rFonts w:cstheme="minorHAnsi"/>
          <w:sz w:val="24"/>
          <w:szCs w:val="24"/>
          <w:lang w:val="en-US"/>
        </w:rPr>
        <w:t xml:space="preserve"> Instituto </w:t>
      </w:r>
      <w:proofErr w:type="spellStart"/>
      <w:r w:rsidRPr="00B3068B">
        <w:rPr>
          <w:rFonts w:cstheme="minorHAnsi"/>
          <w:sz w:val="24"/>
          <w:szCs w:val="24"/>
          <w:lang w:val="en-US"/>
        </w:rPr>
        <w:t>Tecnológico</w:t>
      </w:r>
      <w:proofErr w:type="spellEnd"/>
      <w:r w:rsidRPr="00B3068B">
        <w:rPr>
          <w:rFonts w:cstheme="minorHAnsi"/>
          <w:sz w:val="24"/>
          <w:szCs w:val="24"/>
          <w:lang w:val="en-US"/>
        </w:rPr>
        <w:t xml:space="preserve"> del Estado de Hidalgo, México</w:t>
      </w:r>
      <w:r w:rsidRPr="00B3068B">
        <w:rPr>
          <w:rFonts w:cstheme="minorHAnsi"/>
          <w:szCs w:val="24"/>
          <w:lang w:val="en-US"/>
        </w:rPr>
        <w:t xml:space="preserve"> Correo: </w:t>
      </w:r>
      <w:hyperlink r:id="rId9" w:tgtFrame="_blank" w:history="1">
        <w:r w:rsidRPr="00B3068B">
          <w:rPr>
            <w:rStyle w:val="Hipervnculo"/>
            <w:rFonts w:cs="Times New Roman"/>
            <w:color w:val="1155CC"/>
            <w:shd w:val="clear" w:color="auto" w:fill="FFFFFF"/>
            <w:lang w:val="en-US"/>
          </w:rPr>
          <w:t>iquintero@itesa.edu.mx</w:t>
        </w:r>
      </w:hyperlink>
    </w:p>
    <w:p w14:paraId="24144BDC" w14:textId="77777777" w:rsidR="00B3068B" w:rsidRDefault="00B3068B" w:rsidP="00B3068B">
      <w:pPr>
        <w:spacing w:after="0" w:line="240" w:lineRule="auto"/>
        <w:jc w:val="center"/>
        <w:rPr>
          <w:lang w:val="en-US"/>
        </w:rPr>
      </w:pPr>
    </w:p>
    <w:p w14:paraId="39AF09CB" w14:textId="77777777" w:rsidR="00B3068B" w:rsidRDefault="00B3068B" w:rsidP="00B3068B">
      <w:pPr>
        <w:spacing w:after="0" w:line="240" w:lineRule="auto"/>
        <w:jc w:val="center"/>
        <w:rPr>
          <w:lang w:val="en-US"/>
        </w:rPr>
      </w:pPr>
      <w:r>
        <w:rPr>
          <w:lang w:val="en-US"/>
        </w:rPr>
        <w:t>Sent date: 2/11/2021</w:t>
      </w:r>
    </w:p>
    <w:p w14:paraId="26E16717" w14:textId="77777777" w:rsidR="00B3068B" w:rsidRDefault="00B3068B" w:rsidP="0041389F">
      <w:pPr>
        <w:spacing w:after="0" w:line="240" w:lineRule="auto"/>
        <w:jc w:val="both"/>
        <w:rPr>
          <w:rFonts w:cstheme="minorHAnsi"/>
          <w:b/>
          <w:sz w:val="24"/>
          <w:szCs w:val="24"/>
        </w:rPr>
      </w:pPr>
    </w:p>
    <w:p w14:paraId="21530D1C" w14:textId="77777777" w:rsidR="00B3068B" w:rsidRDefault="00B3068B" w:rsidP="0041389F">
      <w:pPr>
        <w:spacing w:after="0" w:line="240" w:lineRule="auto"/>
        <w:jc w:val="both"/>
        <w:rPr>
          <w:rFonts w:cstheme="minorHAnsi"/>
          <w:b/>
          <w:sz w:val="24"/>
          <w:szCs w:val="24"/>
        </w:rPr>
      </w:pPr>
    </w:p>
    <w:p w14:paraId="15B386BF" w14:textId="3CECA6CF" w:rsidR="00C27376" w:rsidRDefault="00C27376" w:rsidP="00C27376">
      <w:pPr>
        <w:spacing w:after="0" w:line="240" w:lineRule="auto"/>
        <w:jc w:val="both"/>
        <w:rPr>
          <w:rFonts w:cstheme="minorHAnsi"/>
          <w:b/>
          <w:sz w:val="24"/>
          <w:szCs w:val="24"/>
        </w:rPr>
      </w:pPr>
    </w:p>
    <w:p w14:paraId="4478A43D" w14:textId="70FC2F67" w:rsidR="00C27376" w:rsidRPr="0000720F" w:rsidRDefault="00C27376" w:rsidP="00C27376">
      <w:pPr>
        <w:spacing w:after="0" w:line="240" w:lineRule="auto"/>
        <w:jc w:val="both"/>
        <w:rPr>
          <w:rFonts w:cstheme="minorHAnsi"/>
          <w:b/>
          <w:sz w:val="24"/>
          <w:szCs w:val="24"/>
        </w:rPr>
      </w:pPr>
      <w:proofErr w:type="spellStart"/>
      <w:r w:rsidRPr="0000720F">
        <w:rPr>
          <w:rFonts w:cstheme="minorHAnsi"/>
          <w:b/>
          <w:sz w:val="24"/>
          <w:szCs w:val="24"/>
        </w:rPr>
        <w:t>Abstract</w:t>
      </w:r>
      <w:proofErr w:type="spellEnd"/>
    </w:p>
    <w:p w14:paraId="63418BB4" w14:textId="77777777" w:rsidR="00C27376" w:rsidRDefault="00C27376" w:rsidP="00C27376">
      <w:pPr>
        <w:pStyle w:val="Default"/>
      </w:pPr>
    </w:p>
    <w:p w14:paraId="64996689" w14:textId="77777777" w:rsidR="00C27376" w:rsidRPr="0000720F" w:rsidRDefault="00C27376" w:rsidP="00C27376">
      <w:pPr>
        <w:spacing w:after="0" w:line="240" w:lineRule="auto"/>
        <w:jc w:val="both"/>
        <w:rPr>
          <w:rFonts w:cstheme="minorHAnsi"/>
          <w:sz w:val="24"/>
          <w:szCs w:val="24"/>
        </w:rPr>
      </w:pPr>
      <w:r w:rsidRPr="0000720F">
        <w:rPr>
          <w:rFonts w:cstheme="minorHAnsi"/>
          <w:sz w:val="24"/>
          <w:szCs w:val="24"/>
        </w:rPr>
        <w:t xml:space="preserve">In </w:t>
      </w:r>
      <w:proofErr w:type="spellStart"/>
      <w:r w:rsidRPr="0000720F">
        <w:rPr>
          <w:rFonts w:cstheme="minorHAnsi"/>
          <w:sz w:val="24"/>
          <w:szCs w:val="24"/>
        </w:rPr>
        <w:t>this</w:t>
      </w:r>
      <w:proofErr w:type="spellEnd"/>
      <w:r w:rsidRPr="0000720F">
        <w:rPr>
          <w:rFonts w:cstheme="minorHAnsi"/>
          <w:sz w:val="24"/>
          <w:szCs w:val="24"/>
        </w:rPr>
        <w:t xml:space="preserve"> </w:t>
      </w:r>
      <w:proofErr w:type="spellStart"/>
      <w:r w:rsidRPr="0000720F">
        <w:rPr>
          <w:rFonts w:cstheme="minorHAnsi"/>
          <w:sz w:val="24"/>
          <w:szCs w:val="24"/>
        </w:rPr>
        <w:t>work</w:t>
      </w:r>
      <w:proofErr w:type="spellEnd"/>
      <w:r w:rsidRPr="0000720F">
        <w:rPr>
          <w:rFonts w:cstheme="minorHAnsi"/>
          <w:sz w:val="24"/>
          <w:szCs w:val="24"/>
        </w:rPr>
        <w:t xml:space="preserve">, a </w:t>
      </w:r>
      <w:proofErr w:type="spellStart"/>
      <w:r w:rsidRPr="0000720F">
        <w:rPr>
          <w:rFonts w:cstheme="minorHAnsi"/>
          <w:sz w:val="24"/>
          <w:szCs w:val="24"/>
        </w:rPr>
        <w:t>study</w:t>
      </w:r>
      <w:proofErr w:type="spellEnd"/>
      <w:r w:rsidRPr="0000720F">
        <w:rPr>
          <w:rFonts w:cstheme="minorHAnsi"/>
          <w:sz w:val="24"/>
          <w:szCs w:val="24"/>
        </w:rPr>
        <w:t xml:space="preserve"> </w:t>
      </w:r>
      <w:proofErr w:type="spellStart"/>
      <w:r w:rsidRPr="0000720F">
        <w:rPr>
          <w:rFonts w:cstheme="minorHAnsi"/>
          <w:sz w:val="24"/>
          <w:szCs w:val="24"/>
        </w:rPr>
        <w:t>is</w:t>
      </w:r>
      <w:proofErr w:type="spellEnd"/>
      <w:r w:rsidRPr="0000720F">
        <w:rPr>
          <w:rFonts w:cstheme="minorHAnsi"/>
          <w:sz w:val="24"/>
          <w:szCs w:val="24"/>
        </w:rPr>
        <w:t xml:space="preserve"> </w:t>
      </w:r>
      <w:proofErr w:type="spellStart"/>
      <w:r w:rsidRPr="0000720F">
        <w:rPr>
          <w:rFonts w:cstheme="minorHAnsi"/>
          <w:sz w:val="24"/>
          <w:szCs w:val="24"/>
        </w:rPr>
        <w:t>carried</w:t>
      </w:r>
      <w:proofErr w:type="spellEnd"/>
      <w:r w:rsidRPr="0000720F">
        <w:rPr>
          <w:rFonts w:cstheme="minorHAnsi"/>
          <w:sz w:val="24"/>
          <w:szCs w:val="24"/>
        </w:rPr>
        <w:t xml:space="preserve"> </w:t>
      </w:r>
      <w:proofErr w:type="spellStart"/>
      <w:r w:rsidRPr="0000720F">
        <w:rPr>
          <w:rFonts w:cstheme="minorHAnsi"/>
          <w:sz w:val="24"/>
          <w:szCs w:val="24"/>
        </w:rPr>
        <w:t>out</w:t>
      </w:r>
      <w:proofErr w:type="spellEnd"/>
      <w:r w:rsidRPr="0000720F">
        <w:rPr>
          <w:rFonts w:cstheme="minorHAnsi"/>
          <w:sz w:val="24"/>
          <w:szCs w:val="24"/>
        </w:rPr>
        <w:t xml:space="preserve"> </w:t>
      </w:r>
      <w:proofErr w:type="spellStart"/>
      <w:r w:rsidRPr="0000720F">
        <w:rPr>
          <w:rFonts w:cstheme="minorHAnsi"/>
          <w:sz w:val="24"/>
          <w:szCs w:val="24"/>
        </w:rPr>
        <w:t>whose</w:t>
      </w:r>
      <w:proofErr w:type="spellEnd"/>
      <w:r w:rsidRPr="0000720F">
        <w:rPr>
          <w:rFonts w:cstheme="minorHAnsi"/>
          <w:sz w:val="24"/>
          <w:szCs w:val="24"/>
        </w:rPr>
        <w:t xml:space="preserve"> </w:t>
      </w:r>
      <w:proofErr w:type="spellStart"/>
      <w:r w:rsidRPr="0000720F">
        <w:rPr>
          <w:rFonts w:cstheme="minorHAnsi"/>
          <w:sz w:val="24"/>
          <w:szCs w:val="24"/>
        </w:rPr>
        <w:t>purpose</w:t>
      </w:r>
      <w:proofErr w:type="spellEnd"/>
      <w:r w:rsidRPr="0000720F">
        <w:rPr>
          <w:rFonts w:cstheme="minorHAnsi"/>
          <w:sz w:val="24"/>
          <w:szCs w:val="24"/>
        </w:rPr>
        <w:t xml:space="preserve"> </w:t>
      </w:r>
      <w:proofErr w:type="spellStart"/>
      <w:r w:rsidRPr="0000720F">
        <w:rPr>
          <w:rFonts w:cstheme="minorHAnsi"/>
          <w:sz w:val="24"/>
          <w:szCs w:val="24"/>
        </w:rPr>
        <w:t>is</w:t>
      </w:r>
      <w:proofErr w:type="spellEnd"/>
      <w:r w:rsidRPr="0000720F">
        <w:rPr>
          <w:rFonts w:cstheme="minorHAnsi"/>
          <w:sz w:val="24"/>
          <w:szCs w:val="24"/>
        </w:rPr>
        <w:t xml:space="preserve"> </w:t>
      </w:r>
      <w:proofErr w:type="spellStart"/>
      <w:r w:rsidRPr="0000720F">
        <w:rPr>
          <w:rFonts w:cstheme="minorHAnsi"/>
          <w:sz w:val="24"/>
          <w:szCs w:val="24"/>
        </w:rPr>
        <w:t>to</w:t>
      </w:r>
      <w:proofErr w:type="spellEnd"/>
      <w:r w:rsidRPr="0000720F">
        <w:rPr>
          <w:rFonts w:cstheme="minorHAnsi"/>
          <w:sz w:val="24"/>
          <w:szCs w:val="24"/>
        </w:rPr>
        <w:t xml:space="preserve"> </w:t>
      </w:r>
      <w:proofErr w:type="spellStart"/>
      <w:r w:rsidRPr="0000720F">
        <w:rPr>
          <w:rFonts w:cstheme="minorHAnsi"/>
          <w:sz w:val="24"/>
          <w:szCs w:val="24"/>
        </w:rPr>
        <w:t>know</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thematic</w:t>
      </w:r>
      <w:proofErr w:type="spellEnd"/>
      <w:r w:rsidRPr="0000720F">
        <w:rPr>
          <w:rFonts w:cstheme="minorHAnsi"/>
          <w:sz w:val="24"/>
          <w:szCs w:val="24"/>
        </w:rPr>
        <w:t xml:space="preserve"> </w:t>
      </w:r>
      <w:proofErr w:type="spellStart"/>
      <w:r w:rsidRPr="0000720F">
        <w:rPr>
          <w:rFonts w:cstheme="minorHAnsi"/>
          <w:sz w:val="24"/>
          <w:szCs w:val="24"/>
        </w:rPr>
        <w:t>structure</w:t>
      </w:r>
      <w:proofErr w:type="spellEnd"/>
      <w:r w:rsidRPr="0000720F">
        <w:rPr>
          <w:rFonts w:cstheme="minorHAnsi"/>
          <w:sz w:val="24"/>
          <w:szCs w:val="24"/>
        </w:rPr>
        <w:t xml:space="preserve"> and </w:t>
      </w:r>
      <w:proofErr w:type="spellStart"/>
      <w:r w:rsidRPr="0000720F">
        <w:rPr>
          <w:rFonts w:cstheme="minorHAnsi"/>
          <w:sz w:val="24"/>
          <w:szCs w:val="24"/>
        </w:rPr>
        <w:t>main</w:t>
      </w:r>
      <w:proofErr w:type="spellEnd"/>
      <w:r w:rsidRPr="0000720F">
        <w:rPr>
          <w:rFonts w:cstheme="minorHAnsi"/>
          <w:sz w:val="24"/>
          <w:szCs w:val="24"/>
        </w:rPr>
        <w:t xml:space="preserve"> </w:t>
      </w:r>
      <w:proofErr w:type="spellStart"/>
      <w:r w:rsidRPr="0000720F">
        <w:rPr>
          <w:rFonts w:cstheme="minorHAnsi"/>
          <w:sz w:val="24"/>
          <w:szCs w:val="24"/>
        </w:rPr>
        <w:t>research</w:t>
      </w:r>
      <w:proofErr w:type="spellEnd"/>
      <w:r w:rsidRPr="0000720F">
        <w:rPr>
          <w:rFonts w:cstheme="minorHAnsi"/>
          <w:sz w:val="24"/>
          <w:szCs w:val="24"/>
        </w:rPr>
        <w:t xml:space="preserve"> </w:t>
      </w:r>
      <w:proofErr w:type="spellStart"/>
      <w:r w:rsidRPr="0000720F">
        <w:rPr>
          <w:rFonts w:cstheme="minorHAnsi"/>
          <w:sz w:val="24"/>
          <w:szCs w:val="24"/>
        </w:rPr>
        <w:t>objects</w:t>
      </w:r>
      <w:proofErr w:type="spellEnd"/>
      <w:r w:rsidRPr="0000720F">
        <w:rPr>
          <w:rFonts w:cstheme="minorHAnsi"/>
          <w:sz w:val="24"/>
          <w:szCs w:val="24"/>
        </w:rPr>
        <w:t xml:space="preserve"> in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field</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engineering</w:t>
      </w:r>
      <w:proofErr w:type="spellEnd"/>
      <w:r w:rsidRPr="0000720F">
        <w:rPr>
          <w:rFonts w:cstheme="minorHAnsi"/>
          <w:sz w:val="24"/>
          <w:szCs w:val="24"/>
        </w:rPr>
        <w:t xml:space="preserve"> </w:t>
      </w:r>
      <w:proofErr w:type="spellStart"/>
      <w:r w:rsidRPr="0000720F">
        <w:rPr>
          <w:rFonts w:cstheme="minorHAnsi"/>
          <w:sz w:val="24"/>
          <w:szCs w:val="24"/>
        </w:rPr>
        <w:t>education</w:t>
      </w:r>
      <w:proofErr w:type="spellEnd"/>
      <w:r w:rsidRPr="0000720F">
        <w:rPr>
          <w:rFonts w:cstheme="minorHAnsi"/>
          <w:sz w:val="24"/>
          <w:szCs w:val="24"/>
        </w:rPr>
        <w:t xml:space="preserve">, </w:t>
      </w:r>
      <w:proofErr w:type="spellStart"/>
      <w:r w:rsidRPr="0000720F">
        <w:rPr>
          <w:rFonts w:cstheme="minorHAnsi"/>
          <w:sz w:val="24"/>
          <w:szCs w:val="24"/>
        </w:rPr>
        <w:t>based</w:t>
      </w:r>
      <w:proofErr w:type="spellEnd"/>
      <w:r w:rsidRPr="0000720F">
        <w:rPr>
          <w:rFonts w:cstheme="minorHAnsi"/>
          <w:sz w:val="24"/>
          <w:szCs w:val="24"/>
        </w:rPr>
        <w:t xml:space="preserve"> </w:t>
      </w:r>
      <w:proofErr w:type="spellStart"/>
      <w:r w:rsidRPr="0000720F">
        <w:rPr>
          <w:rFonts w:cstheme="minorHAnsi"/>
          <w:sz w:val="24"/>
          <w:szCs w:val="24"/>
        </w:rPr>
        <w:t>on</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codification</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titles</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works</w:t>
      </w:r>
      <w:proofErr w:type="spellEnd"/>
      <w:r w:rsidRPr="0000720F">
        <w:rPr>
          <w:rFonts w:cstheme="minorHAnsi"/>
          <w:sz w:val="24"/>
          <w:szCs w:val="24"/>
        </w:rPr>
        <w:t xml:space="preserve"> </w:t>
      </w:r>
      <w:proofErr w:type="spellStart"/>
      <w:r w:rsidRPr="0000720F">
        <w:rPr>
          <w:rFonts w:cstheme="minorHAnsi"/>
          <w:sz w:val="24"/>
          <w:szCs w:val="24"/>
        </w:rPr>
        <w:t>published</w:t>
      </w:r>
      <w:proofErr w:type="spellEnd"/>
      <w:r w:rsidRPr="0000720F">
        <w:rPr>
          <w:rFonts w:cstheme="minorHAnsi"/>
          <w:sz w:val="24"/>
          <w:szCs w:val="24"/>
        </w:rPr>
        <w:t xml:space="preserve"> in </w:t>
      </w:r>
      <w:proofErr w:type="spellStart"/>
      <w:r w:rsidRPr="0000720F">
        <w:rPr>
          <w:rFonts w:cstheme="minorHAnsi"/>
          <w:sz w:val="24"/>
          <w:szCs w:val="24"/>
        </w:rPr>
        <w:t>eight</w:t>
      </w:r>
      <w:proofErr w:type="spellEnd"/>
      <w:r w:rsidRPr="0000720F">
        <w:rPr>
          <w:rFonts w:cstheme="minorHAnsi"/>
          <w:sz w:val="24"/>
          <w:szCs w:val="24"/>
        </w:rPr>
        <w:t xml:space="preserve"> </w:t>
      </w:r>
      <w:proofErr w:type="spellStart"/>
      <w:r w:rsidRPr="0000720F">
        <w:rPr>
          <w:rFonts w:cstheme="minorHAnsi"/>
          <w:sz w:val="24"/>
          <w:szCs w:val="24"/>
        </w:rPr>
        <w:t>scientific</w:t>
      </w:r>
      <w:proofErr w:type="spellEnd"/>
      <w:r w:rsidRPr="0000720F">
        <w:rPr>
          <w:rFonts w:cstheme="minorHAnsi"/>
          <w:sz w:val="24"/>
          <w:szCs w:val="24"/>
        </w:rPr>
        <w:t xml:space="preserve"> </w:t>
      </w:r>
      <w:proofErr w:type="spellStart"/>
      <w:r w:rsidRPr="0000720F">
        <w:rPr>
          <w:rFonts w:cstheme="minorHAnsi"/>
          <w:sz w:val="24"/>
          <w:szCs w:val="24"/>
        </w:rPr>
        <w:t>journals</w:t>
      </w:r>
      <w:proofErr w:type="spellEnd"/>
      <w:r w:rsidRPr="0000720F">
        <w:rPr>
          <w:rFonts w:cstheme="minorHAnsi"/>
          <w:sz w:val="24"/>
          <w:szCs w:val="24"/>
        </w:rPr>
        <w:t xml:space="preserve"> </w:t>
      </w:r>
      <w:proofErr w:type="spellStart"/>
      <w:r w:rsidRPr="0000720F">
        <w:rPr>
          <w:rFonts w:cstheme="minorHAnsi"/>
          <w:sz w:val="24"/>
          <w:szCs w:val="24"/>
        </w:rPr>
        <w:t>whose</w:t>
      </w:r>
      <w:proofErr w:type="spellEnd"/>
      <w:r w:rsidRPr="0000720F">
        <w:rPr>
          <w:rFonts w:cstheme="minorHAnsi"/>
          <w:sz w:val="24"/>
          <w:szCs w:val="24"/>
        </w:rPr>
        <w:t xml:space="preserve"> </w:t>
      </w:r>
      <w:proofErr w:type="spellStart"/>
      <w:r w:rsidRPr="0000720F">
        <w:rPr>
          <w:rFonts w:cstheme="minorHAnsi"/>
          <w:sz w:val="24"/>
          <w:szCs w:val="24"/>
        </w:rPr>
        <w:t>only</w:t>
      </w:r>
      <w:proofErr w:type="spellEnd"/>
      <w:r w:rsidRPr="0000720F">
        <w:rPr>
          <w:rFonts w:cstheme="minorHAnsi"/>
          <w:sz w:val="24"/>
          <w:szCs w:val="24"/>
        </w:rPr>
        <w:t xml:space="preserve"> line </w:t>
      </w:r>
      <w:proofErr w:type="spellStart"/>
      <w:r w:rsidRPr="0000720F">
        <w:rPr>
          <w:rFonts w:cstheme="minorHAnsi"/>
          <w:sz w:val="24"/>
          <w:szCs w:val="24"/>
        </w:rPr>
        <w:t>is</w:t>
      </w:r>
      <w:proofErr w:type="spellEnd"/>
      <w:r w:rsidRPr="0000720F">
        <w:rPr>
          <w:rFonts w:cstheme="minorHAnsi"/>
          <w:sz w:val="24"/>
          <w:szCs w:val="24"/>
        </w:rPr>
        <w:t xml:space="preserve"> editorial </w:t>
      </w:r>
      <w:proofErr w:type="spellStart"/>
      <w:r w:rsidRPr="0000720F">
        <w:rPr>
          <w:rFonts w:cstheme="minorHAnsi"/>
          <w:sz w:val="24"/>
          <w:szCs w:val="24"/>
        </w:rPr>
        <w:t>engineering</w:t>
      </w:r>
      <w:proofErr w:type="spellEnd"/>
      <w:r w:rsidRPr="0000720F">
        <w:rPr>
          <w:rFonts w:cstheme="minorHAnsi"/>
          <w:sz w:val="24"/>
          <w:szCs w:val="24"/>
        </w:rPr>
        <w:t xml:space="preserve"> </w:t>
      </w:r>
      <w:proofErr w:type="spellStart"/>
      <w:r w:rsidRPr="0000720F">
        <w:rPr>
          <w:rFonts w:cstheme="minorHAnsi"/>
          <w:sz w:val="24"/>
          <w:szCs w:val="24"/>
        </w:rPr>
        <w:t>education</w:t>
      </w:r>
      <w:proofErr w:type="spellEnd"/>
      <w:r w:rsidRPr="0000720F">
        <w:rPr>
          <w:rFonts w:cstheme="minorHAnsi"/>
          <w:sz w:val="24"/>
          <w:szCs w:val="24"/>
        </w:rPr>
        <w:t xml:space="preserve"> in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period</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time 2016-2021.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identified</w:t>
      </w:r>
      <w:proofErr w:type="spellEnd"/>
      <w:r w:rsidRPr="0000720F">
        <w:rPr>
          <w:rFonts w:cstheme="minorHAnsi"/>
          <w:sz w:val="24"/>
          <w:szCs w:val="24"/>
        </w:rPr>
        <w:t xml:space="preserve"> </w:t>
      </w:r>
      <w:proofErr w:type="spellStart"/>
      <w:r w:rsidRPr="0000720F">
        <w:rPr>
          <w:rFonts w:cstheme="minorHAnsi"/>
          <w:sz w:val="24"/>
          <w:szCs w:val="24"/>
        </w:rPr>
        <w:t>categories</w:t>
      </w:r>
      <w:proofErr w:type="spellEnd"/>
      <w:r w:rsidRPr="0000720F">
        <w:rPr>
          <w:rFonts w:cstheme="minorHAnsi"/>
          <w:sz w:val="24"/>
          <w:szCs w:val="24"/>
        </w:rPr>
        <w:t xml:space="preserve"> are </w:t>
      </w:r>
      <w:proofErr w:type="spellStart"/>
      <w:r w:rsidRPr="0000720F">
        <w:rPr>
          <w:rFonts w:cstheme="minorHAnsi"/>
          <w:sz w:val="24"/>
          <w:szCs w:val="24"/>
        </w:rPr>
        <w:t>presented</w:t>
      </w:r>
      <w:proofErr w:type="spellEnd"/>
      <w:r w:rsidRPr="0000720F">
        <w:rPr>
          <w:rFonts w:cstheme="minorHAnsi"/>
          <w:sz w:val="24"/>
          <w:szCs w:val="24"/>
        </w:rPr>
        <w:t xml:space="preserve"> in a </w:t>
      </w:r>
      <w:proofErr w:type="spellStart"/>
      <w:r w:rsidRPr="0000720F">
        <w:rPr>
          <w:rFonts w:cstheme="minorHAnsi"/>
          <w:sz w:val="24"/>
          <w:szCs w:val="24"/>
        </w:rPr>
        <w:t>network</w:t>
      </w:r>
      <w:proofErr w:type="spellEnd"/>
      <w:r w:rsidRPr="0000720F">
        <w:rPr>
          <w:rFonts w:cstheme="minorHAnsi"/>
          <w:sz w:val="24"/>
          <w:szCs w:val="24"/>
        </w:rPr>
        <w:t xml:space="preserve"> </w:t>
      </w:r>
      <w:proofErr w:type="spellStart"/>
      <w:r w:rsidRPr="0000720F">
        <w:rPr>
          <w:rFonts w:cstheme="minorHAnsi"/>
          <w:sz w:val="24"/>
          <w:szCs w:val="24"/>
        </w:rPr>
        <w:t>that</w:t>
      </w:r>
      <w:proofErr w:type="spellEnd"/>
      <w:r w:rsidRPr="0000720F">
        <w:rPr>
          <w:rFonts w:cstheme="minorHAnsi"/>
          <w:sz w:val="24"/>
          <w:szCs w:val="24"/>
        </w:rPr>
        <w:t xml:space="preserve"> </w:t>
      </w:r>
      <w:proofErr w:type="spellStart"/>
      <w:r w:rsidRPr="0000720F">
        <w:rPr>
          <w:rFonts w:cstheme="minorHAnsi"/>
          <w:sz w:val="24"/>
          <w:szCs w:val="24"/>
        </w:rPr>
        <w:t>those</w:t>
      </w:r>
      <w:proofErr w:type="spellEnd"/>
      <w:r w:rsidRPr="0000720F">
        <w:rPr>
          <w:rFonts w:cstheme="minorHAnsi"/>
          <w:sz w:val="24"/>
          <w:szCs w:val="24"/>
        </w:rPr>
        <w:t xml:space="preserve"> </w:t>
      </w:r>
      <w:proofErr w:type="spellStart"/>
      <w:r w:rsidRPr="0000720F">
        <w:rPr>
          <w:rFonts w:cstheme="minorHAnsi"/>
          <w:sz w:val="24"/>
          <w:szCs w:val="24"/>
        </w:rPr>
        <w:t>with</w:t>
      </w:r>
      <w:proofErr w:type="spellEnd"/>
      <w:r w:rsidRPr="0000720F">
        <w:rPr>
          <w:rFonts w:cstheme="minorHAnsi"/>
          <w:sz w:val="24"/>
          <w:szCs w:val="24"/>
        </w:rPr>
        <w:t xml:space="preserve"> </w:t>
      </w:r>
      <w:proofErr w:type="spellStart"/>
      <w:r w:rsidRPr="0000720F">
        <w:rPr>
          <w:rFonts w:cstheme="minorHAnsi"/>
          <w:sz w:val="24"/>
          <w:szCs w:val="24"/>
        </w:rPr>
        <w:t>scientific</w:t>
      </w:r>
      <w:proofErr w:type="spellEnd"/>
      <w:r w:rsidRPr="0000720F">
        <w:rPr>
          <w:rFonts w:cstheme="minorHAnsi"/>
          <w:sz w:val="24"/>
          <w:szCs w:val="24"/>
        </w:rPr>
        <w:t xml:space="preserve"> </w:t>
      </w:r>
      <w:proofErr w:type="spellStart"/>
      <w:r w:rsidRPr="0000720F">
        <w:rPr>
          <w:rFonts w:cstheme="minorHAnsi"/>
          <w:sz w:val="24"/>
          <w:szCs w:val="24"/>
        </w:rPr>
        <w:t>journals</w:t>
      </w:r>
      <w:proofErr w:type="spellEnd"/>
      <w:r w:rsidRPr="0000720F">
        <w:rPr>
          <w:rFonts w:cstheme="minorHAnsi"/>
          <w:sz w:val="24"/>
          <w:szCs w:val="24"/>
        </w:rPr>
        <w:t xml:space="preserve"> </w:t>
      </w:r>
      <w:proofErr w:type="spellStart"/>
      <w:r w:rsidRPr="0000720F">
        <w:rPr>
          <w:rFonts w:cstheme="minorHAnsi"/>
          <w:sz w:val="24"/>
          <w:szCs w:val="24"/>
        </w:rPr>
        <w:t>highlighting</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absolute</w:t>
      </w:r>
      <w:proofErr w:type="spellEnd"/>
      <w:r w:rsidRPr="0000720F">
        <w:rPr>
          <w:rFonts w:cstheme="minorHAnsi"/>
          <w:sz w:val="24"/>
          <w:szCs w:val="24"/>
        </w:rPr>
        <w:t xml:space="preserve"> </w:t>
      </w:r>
      <w:proofErr w:type="spellStart"/>
      <w:r w:rsidRPr="0000720F">
        <w:rPr>
          <w:rFonts w:cstheme="minorHAnsi"/>
          <w:sz w:val="24"/>
          <w:szCs w:val="24"/>
        </w:rPr>
        <w:t>frequencies</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citation</w:t>
      </w:r>
      <w:proofErr w:type="spellEnd"/>
      <w:r w:rsidRPr="0000720F">
        <w:rPr>
          <w:rFonts w:cstheme="minorHAnsi"/>
          <w:sz w:val="24"/>
          <w:szCs w:val="24"/>
        </w:rPr>
        <w:t xml:space="preserve">. </w:t>
      </w:r>
      <w:proofErr w:type="spellStart"/>
      <w:r w:rsidRPr="0000720F">
        <w:rPr>
          <w:rFonts w:cstheme="minorHAnsi"/>
          <w:sz w:val="24"/>
          <w:szCs w:val="24"/>
        </w:rPr>
        <w:t>Based</w:t>
      </w:r>
      <w:proofErr w:type="spellEnd"/>
      <w:r w:rsidRPr="0000720F">
        <w:rPr>
          <w:rFonts w:cstheme="minorHAnsi"/>
          <w:sz w:val="24"/>
          <w:szCs w:val="24"/>
        </w:rPr>
        <w:t xml:space="preserve"> </w:t>
      </w:r>
      <w:proofErr w:type="spellStart"/>
      <w:r w:rsidRPr="0000720F">
        <w:rPr>
          <w:rFonts w:cstheme="minorHAnsi"/>
          <w:sz w:val="24"/>
          <w:szCs w:val="24"/>
        </w:rPr>
        <w:t>on</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binary</w:t>
      </w:r>
      <w:proofErr w:type="spellEnd"/>
      <w:r w:rsidRPr="0000720F">
        <w:rPr>
          <w:rFonts w:cstheme="minorHAnsi"/>
          <w:sz w:val="24"/>
          <w:szCs w:val="24"/>
        </w:rPr>
        <w:t xml:space="preserve"> </w:t>
      </w:r>
      <w:proofErr w:type="spellStart"/>
      <w:r w:rsidRPr="0000720F">
        <w:rPr>
          <w:rFonts w:cstheme="minorHAnsi"/>
          <w:sz w:val="24"/>
          <w:szCs w:val="24"/>
        </w:rPr>
        <w:t>analysis</w:t>
      </w:r>
      <w:proofErr w:type="spellEnd"/>
      <w:r w:rsidRPr="0000720F">
        <w:rPr>
          <w:rFonts w:cstheme="minorHAnsi"/>
          <w:sz w:val="24"/>
          <w:szCs w:val="24"/>
        </w:rPr>
        <w:t xml:space="preserve"> (</w:t>
      </w:r>
      <w:proofErr w:type="spellStart"/>
      <w:r w:rsidRPr="0000720F">
        <w:rPr>
          <w:rFonts w:cstheme="minorHAnsi"/>
          <w:sz w:val="24"/>
          <w:szCs w:val="24"/>
        </w:rPr>
        <w:t>presence</w:t>
      </w:r>
      <w:proofErr w:type="spellEnd"/>
      <w:r w:rsidRPr="0000720F">
        <w:rPr>
          <w:rFonts w:cstheme="minorHAnsi"/>
          <w:sz w:val="24"/>
          <w:szCs w:val="24"/>
        </w:rPr>
        <w:t xml:space="preserve"> -1 / absence-0) in </w:t>
      </w:r>
      <w:proofErr w:type="spellStart"/>
      <w:r w:rsidRPr="0000720F">
        <w:rPr>
          <w:rFonts w:cstheme="minorHAnsi"/>
          <w:sz w:val="24"/>
          <w:szCs w:val="24"/>
        </w:rPr>
        <w:t>each</w:t>
      </w:r>
      <w:proofErr w:type="spellEnd"/>
      <w:r w:rsidRPr="0000720F">
        <w:rPr>
          <w:rFonts w:cstheme="minorHAnsi"/>
          <w:sz w:val="24"/>
          <w:szCs w:val="24"/>
        </w:rPr>
        <w:t xml:space="preserve"> </w:t>
      </w:r>
      <w:proofErr w:type="spellStart"/>
      <w:r w:rsidRPr="0000720F">
        <w:rPr>
          <w:rFonts w:cstheme="minorHAnsi"/>
          <w:sz w:val="24"/>
          <w:szCs w:val="24"/>
        </w:rPr>
        <w:t>journal</w:t>
      </w:r>
      <w:proofErr w:type="spellEnd"/>
      <w:r w:rsidRPr="0000720F">
        <w:rPr>
          <w:rFonts w:cstheme="minorHAnsi"/>
          <w:sz w:val="24"/>
          <w:szCs w:val="24"/>
        </w:rPr>
        <w:t xml:space="preserve">, a </w:t>
      </w:r>
      <w:proofErr w:type="spellStart"/>
      <w:r w:rsidRPr="0000720F">
        <w:rPr>
          <w:rFonts w:cstheme="minorHAnsi"/>
          <w:sz w:val="24"/>
          <w:szCs w:val="24"/>
        </w:rPr>
        <w:t>study</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similarity</w:t>
      </w:r>
      <w:proofErr w:type="spellEnd"/>
      <w:r w:rsidRPr="0000720F">
        <w:rPr>
          <w:rFonts w:cstheme="minorHAnsi"/>
          <w:sz w:val="24"/>
          <w:szCs w:val="24"/>
        </w:rPr>
        <w:t xml:space="preserve"> </w:t>
      </w:r>
      <w:proofErr w:type="spellStart"/>
      <w:r w:rsidRPr="0000720F">
        <w:rPr>
          <w:rFonts w:cstheme="minorHAnsi"/>
          <w:sz w:val="24"/>
          <w:szCs w:val="24"/>
        </w:rPr>
        <w:t>between</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journals</w:t>
      </w:r>
      <w:proofErr w:type="spellEnd"/>
      <w:r w:rsidRPr="0000720F">
        <w:rPr>
          <w:rFonts w:cstheme="minorHAnsi"/>
          <w:sz w:val="24"/>
          <w:szCs w:val="24"/>
        </w:rPr>
        <w:t xml:space="preserve"> </w:t>
      </w:r>
      <w:proofErr w:type="spellStart"/>
      <w:r w:rsidRPr="0000720F">
        <w:rPr>
          <w:rFonts w:cstheme="minorHAnsi"/>
          <w:sz w:val="24"/>
          <w:szCs w:val="24"/>
        </w:rPr>
        <w:t>is</w:t>
      </w:r>
      <w:proofErr w:type="spellEnd"/>
      <w:r w:rsidRPr="0000720F">
        <w:rPr>
          <w:rFonts w:cstheme="minorHAnsi"/>
          <w:sz w:val="24"/>
          <w:szCs w:val="24"/>
        </w:rPr>
        <w:t xml:space="preserve"> </w:t>
      </w:r>
      <w:proofErr w:type="spellStart"/>
      <w:r w:rsidRPr="0000720F">
        <w:rPr>
          <w:rFonts w:cstheme="minorHAnsi"/>
          <w:sz w:val="24"/>
          <w:szCs w:val="24"/>
        </w:rPr>
        <w:t>carried</w:t>
      </w:r>
      <w:proofErr w:type="spellEnd"/>
      <w:r w:rsidRPr="0000720F">
        <w:rPr>
          <w:rFonts w:cstheme="minorHAnsi"/>
          <w:sz w:val="24"/>
          <w:szCs w:val="24"/>
        </w:rPr>
        <w:t xml:space="preserve"> </w:t>
      </w:r>
      <w:proofErr w:type="spellStart"/>
      <w:r w:rsidRPr="0000720F">
        <w:rPr>
          <w:rFonts w:cstheme="minorHAnsi"/>
          <w:sz w:val="24"/>
          <w:szCs w:val="24"/>
        </w:rPr>
        <w:t>out</w:t>
      </w:r>
      <w:proofErr w:type="spellEnd"/>
      <w:r w:rsidRPr="0000720F">
        <w:rPr>
          <w:rFonts w:cstheme="minorHAnsi"/>
          <w:sz w:val="24"/>
          <w:szCs w:val="24"/>
        </w:rPr>
        <w:t xml:space="preserve"> as </w:t>
      </w:r>
      <w:proofErr w:type="spellStart"/>
      <w:r w:rsidRPr="0000720F">
        <w:rPr>
          <w:rFonts w:cstheme="minorHAnsi"/>
          <w:sz w:val="24"/>
          <w:szCs w:val="24"/>
        </w:rPr>
        <w:t>an</w:t>
      </w:r>
      <w:proofErr w:type="spellEnd"/>
      <w:r w:rsidRPr="0000720F">
        <w:rPr>
          <w:rFonts w:cstheme="minorHAnsi"/>
          <w:sz w:val="24"/>
          <w:szCs w:val="24"/>
        </w:rPr>
        <w:t xml:space="preserve"> </w:t>
      </w:r>
      <w:proofErr w:type="spellStart"/>
      <w:r w:rsidRPr="0000720F">
        <w:rPr>
          <w:rFonts w:cstheme="minorHAnsi"/>
          <w:sz w:val="24"/>
          <w:szCs w:val="24"/>
        </w:rPr>
        <w:t>expression</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scientific</w:t>
      </w:r>
      <w:proofErr w:type="spellEnd"/>
      <w:r w:rsidRPr="0000720F">
        <w:rPr>
          <w:rFonts w:cstheme="minorHAnsi"/>
          <w:sz w:val="24"/>
          <w:szCs w:val="24"/>
        </w:rPr>
        <w:t xml:space="preserve"> </w:t>
      </w:r>
      <w:proofErr w:type="spellStart"/>
      <w:r w:rsidRPr="0000720F">
        <w:rPr>
          <w:rFonts w:cstheme="minorHAnsi"/>
          <w:sz w:val="24"/>
          <w:szCs w:val="24"/>
        </w:rPr>
        <w:t>production</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communities</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practice</w:t>
      </w:r>
      <w:proofErr w:type="spellEnd"/>
      <w:r w:rsidRPr="0000720F">
        <w:rPr>
          <w:rFonts w:cstheme="minorHAnsi"/>
          <w:sz w:val="24"/>
          <w:szCs w:val="24"/>
        </w:rPr>
        <w:t xml:space="preserve"> in </w:t>
      </w:r>
      <w:proofErr w:type="spellStart"/>
      <w:r w:rsidRPr="0000720F">
        <w:rPr>
          <w:rFonts w:cstheme="minorHAnsi"/>
          <w:sz w:val="24"/>
          <w:szCs w:val="24"/>
        </w:rPr>
        <w:t>engineering</w:t>
      </w:r>
      <w:proofErr w:type="spellEnd"/>
      <w:r w:rsidRPr="0000720F">
        <w:rPr>
          <w:rFonts w:cstheme="minorHAnsi"/>
          <w:sz w:val="24"/>
          <w:szCs w:val="24"/>
        </w:rPr>
        <w:t xml:space="preserve"> </w:t>
      </w:r>
      <w:proofErr w:type="spellStart"/>
      <w:r w:rsidRPr="0000720F">
        <w:rPr>
          <w:rFonts w:cstheme="minorHAnsi"/>
          <w:sz w:val="24"/>
          <w:szCs w:val="24"/>
        </w:rPr>
        <w:t>education</w:t>
      </w:r>
      <w:proofErr w:type="spellEnd"/>
      <w:r w:rsidRPr="0000720F">
        <w:rPr>
          <w:rFonts w:cstheme="minorHAnsi"/>
          <w:sz w:val="24"/>
          <w:szCs w:val="24"/>
        </w:rPr>
        <w:t xml:space="preserve">, </w:t>
      </w:r>
      <w:proofErr w:type="spellStart"/>
      <w:r w:rsidRPr="0000720F">
        <w:rPr>
          <w:rFonts w:cstheme="minorHAnsi"/>
          <w:sz w:val="24"/>
          <w:szCs w:val="24"/>
        </w:rPr>
        <w:t>which</w:t>
      </w:r>
      <w:proofErr w:type="spellEnd"/>
      <w:r w:rsidRPr="0000720F">
        <w:rPr>
          <w:rFonts w:cstheme="minorHAnsi"/>
          <w:sz w:val="24"/>
          <w:szCs w:val="24"/>
        </w:rPr>
        <w:t xml:space="preserve"> </w:t>
      </w:r>
      <w:proofErr w:type="spellStart"/>
      <w:r w:rsidRPr="0000720F">
        <w:rPr>
          <w:rFonts w:cstheme="minorHAnsi"/>
          <w:sz w:val="24"/>
          <w:szCs w:val="24"/>
        </w:rPr>
        <w:t>allows</w:t>
      </w:r>
      <w:proofErr w:type="spellEnd"/>
      <w:r w:rsidRPr="0000720F">
        <w:rPr>
          <w:rFonts w:cstheme="minorHAnsi"/>
          <w:sz w:val="24"/>
          <w:szCs w:val="24"/>
        </w:rPr>
        <w:t xml:space="preserve"> </w:t>
      </w:r>
      <w:proofErr w:type="spellStart"/>
      <w:r w:rsidRPr="0000720F">
        <w:rPr>
          <w:rFonts w:cstheme="minorHAnsi"/>
          <w:sz w:val="24"/>
          <w:szCs w:val="24"/>
        </w:rPr>
        <w:t>evaluations</w:t>
      </w:r>
      <w:proofErr w:type="spellEnd"/>
      <w:r w:rsidRPr="0000720F">
        <w:rPr>
          <w:rFonts w:cstheme="minorHAnsi"/>
          <w:sz w:val="24"/>
          <w:szCs w:val="24"/>
        </w:rPr>
        <w:t xml:space="preserve"> </w:t>
      </w:r>
      <w:proofErr w:type="spellStart"/>
      <w:r w:rsidRPr="0000720F">
        <w:rPr>
          <w:rFonts w:cstheme="minorHAnsi"/>
          <w:sz w:val="24"/>
          <w:szCs w:val="24"/>
        </w:rPr>
        <w:t>to</w:t>
      </w:r>
      <w:proofErr w:type="spellEnd"/>
      <w:r w:rsidRPr="0000720F">
        <w:rPr>
          <w:rFonts w:cstheme="minorHAnsi"/>
          <w:sz w:val="24"/>
          <w:szCs w:val="24"/>
        </w:rPr>
        <w:t xml:space="preserve"> be </w:t>
      </w:r>
      <w:proofErr w:type="spellStart"/>
      <w:r w:rsidRPr="0000720F">
        <w:rPr>
          <w:rFonts w:cstheme="minorHAnsi"/>
          <w:sz w:val="24"/>
          <w:szCs w:val="24"/>
        </w:rPr>
        <w:t>made</w:t>
      </w:r>
      <w:proofErr w:type="spellEnd"/>
      <w:r w:rsidRPr="0000720F">
        <w:rPr>
          <w:rFonts w:cstheme="minorHAnsi"/>
          <w:sz w:val="24"/>
          <w:szCs w:val="24"/>
        </w:rPr>
        <w:t xml:space="preserve"> </w:t>
      </w:r>
      <w:proofErr w:type="spellStart"/>
      <w:r w:rsidRPr="0000720F">
        <w:rPr>
          <w:rFonts w:cstheme="minorHAnsi"/>
          <w:sz w:val="24"/>
          <w:szCs w:val="24"/>
        </w:rPr>
        <w:t>for</w:t>
      </w:r>
      <w:proofErr w:type="spellEnd"/>
      <w:r w:rsidRPr="0000720F">
        <w:rPr>
          <w:rFonts w:cstheme="minorHAnsi"/>
          <w:sz w:val="24"/>
          <w:szCs w:val="24"/>
        </w:rPr>
        <w:t xml:space="preserve"> </w:t>
      </w:r>
      <w:proofErr w:type="spellStart"/>
      <w:r w:rsidRPr="0000720F">
        <w:rPr>
          <w:rFonts w:cstheme="minorHAnsi"/>
          <w:sz w:val="24"/>
          <w:szCs w:val="24"/>
        </w:rPr>
        <w:t>the</w:t>
      </w:r>
      <w:proofErr w:type="spellEnd"/>
      <w:r w:rsidRPr="0000720F">
        <w:rPr>
          <w:rFonts w:cstheme="minorHAnsi"/>
          <w:sz w:val="24"/>
          <w:szCs w:val="24"/>
        </w:rPr>
        <w:t xml:space="preserve"> </w:t>
      </w:r>
      <w:proofErr w:type="spellStart"/>
      <w:r w:rsidRPr="0000720F">
        <w:rPr>
          <w:rFonts w:cstheme="minorHAnsi"/>
          <w:sz w:val="24"/>
          <w:szCs w:val="24"/>
        </w:rPr>
        <w:t>researchers</w:t>
      </w:r>
      <w:proofErr w:type="spellEnd"/>
      <w:r w:rsidRPr="0000720F">
        <w:rPr>
          <w:rFonts w:cstheme="minorHAnsi"/>
          <w:sz w:val="24"/>
          <w:szCs w:val="24"/>
        </w:rPr>
        <w:t xml:space="preserve"> </w:t>
      </w:r>
      <w:proofErr w:type="spellStart"/>
      <w:r w:rsidRPr="0000720F">
        <w:rPr>
          <w:rFonts w:cstheme="minorHAnsi"/>
          <w:sz w:val="24"/>
          <w:szCs w:val="24"/>
        </w:rPr>
        <w:t>of</w:t>
      </w:r>
      <w:proofErr w:type="spellEnd"/>
      <w:r w:rsidRPr="0000720F">
        <w:rPr>
          <w:rFonts w:cstheme="minorHAnsi"/>
          <w:sz w:val="24"/>
          <w:szCs w:val="24"/>
        </w:rPr>
        <w:t xml:space="preserve"> </w:t>
      </w:r>
      <w:proofErr w:type="spellStart"/>
      <w:r w:rsidRPr="0000720F">
        <w:rPr>
          <w:rFonts w:cstheme="minorHAnsi"/>
          <w:sz w:val="24"/>
          <w:szCs w:val="24"/>
        </w:rPr>
        <w:t>this</w:t>
      </w:r>
      <w:proofErr w:type="spellEnd"/>
      <w:r w:rsidRPr="0000720F">
        <w:rPr>
          <w:rFonts w:cstheme="minorHAnsi"/>
          <w:sz w:val="24"/>
          <w:szCs w:val="24"/>
        </w:rPr>
        <w:t xml:space="preserve"> </w:t>
      </w:r>
      <w:proofErr w:type="spellStart"/>
      <w:r w:rsidRPr="0000720F">
        <w:rPr>
          <w:rFonts w:cstheme="minorHAnsi"/>
          <w:sz w:val="24"/>
          <w:szCs w:val="24"/>
        </w:rPr>
        <w:t>scientific</w:t>
      </w:r>
      <w:proofErr w:type="spellEnd"/>
      <w:r w:rsidRPr="0000720F">
        <w:rPr>
          <w:rFonts w:cstheme="minorHAnsi"/>
          <w:sz w:val="24"/>
          <w:szCs w:val="24"/>
        </w:rPr>
        <w:t xml:space="preserve"> discipline.</w:t>
      </w:r>
    </w:p>
    <w:p w14:paraId="6BFF700E" w14:textId="77777777" w:rsidR="00C27376" w:rsidRPr="0000720F" w:rsidRDefault="00C27376" w:rsidP="00C27376">
      <w:pPr>
        <w:spacing w:after="0" w:line="240" w:lineRule="auto"/>
        <w:jc w:val="both"/>
        <w:rPr>
          <w:rFonts w:cstheme="minorHAnsi"/>
          <w:sz w:val="24"/>
          <w:szCs w:val="24"/>
        </w:rPr>
      </w:pPr>
    </w:p>
    <w:p w14:paraId="417AC491" w14:textId="42A2C941" w:rsidR="00C27376" w:rsidRDefault="00C27376" w:rsidP="00C27376">
      <w:pPr>
        <w:spacing w:after="0" w:line="240" w:lineRule="auto"/>
        <w:jc w:val="both"/>
        <w:rPr>
          <w:rFonts w:cstheme="minorHAnsi"/>
          <w:sz w:val="24"/>
          <w:szCs w:val="24"/>
        </w:rPr>
      </w:pPr>
      <w:proofErr w:type="spellStart"/>
      <w:r w:rsidRPr="003B19E3">
        <w:rPr>
          <w:rFonts w:cstheme="minorHAnsi"/>
          <w:b/>
          <w:sz w:val="24"/>
          <w:szCs w:val="24"/>
        </w:rPr>
        <w:t>Keywords</w:t>
      </w:r>
      <w:proofErr w:type="spellEnd"/>
      <w:r w:rsidRPr="0000720F">
        <w:rPr>
          <w:rFonts w:cstheme="minorHAnsi"/>
          <w:sz w:val="24"/>
          <w:szCs w:val="24"/>
        </w:rPr>
        <w:t xml:space="preserve">: </w:t>
      </w:r>
      <w:proofErr w:type="spellStart"/>
      <w:r w:rsidRPr="0000720F">
        <w:rPr>
          <w:rFonts w:cstheme="minorHAnsi"/>
          <w:sz w:val="24"/>
          <w:szCs w:val="24"/>
        </w:rPr>
        <w:t>Engineering</w:t>
      </w:r>
      <w:proofErr w:type="spellEnd"/>
      <w:r w:rsidRPr="0000720F">
        <w:rPr>
          <w:rFonts w:cstheme="minorHAnsi"/>
          <w:sz w:val="24"/>
          <w:szCs w:val="24"/>
        </w:rPr>
        <w:t xml:space="preserve"> </w:t>
      </w:r>
      <w:proofErr w:type="spellStart"/>
      <w:r w:rsidRPr="0000720F">
        <w:rPr>
          <w:rFonts w:cstheme="minorHAnsi"/>
          <w:sz w:val="24"/>
          <w:szCs w:val="24"/>
        </w:rPr>
        <w:t>education</w:t>
      </w:r>
      <w:proofErr w:type="spellEnd"/>
      <w:r w:rsidRPr="0000720F">
        <w:rPr>
          <w:rFonts w:cstheme="minorHAnsi"/>
          <w:sz w:val="24"/>
          <w:szCs w:val="24"/>
        </w:rPr>
        <w:t xml:space="preserve">, </w:t>
      </w:r>
      <w:proofErr w:type="spellStart"/>
      <w:r w:rsidR="00BB6CE6" w:rsidRPr="00BB6CE6">
        <w:rPr>
          <w:rFonts w:cstheme="minorHAnsi"/>
          <w:sz w:val="24"/>
          <w:szCs w:val="24"/>
        </w:rPr>
        <w:t>practice</w:t>
      </w:r>
      <w:proofErr w:type="spellEnd"/>
      <w:r w:rsidR="00BB6CE6" w:rsidRPr="00BB6CE6">
        <w:rPr>
          <w:rFonts w:cstheme="minorHAnsi"/>
          <w:sz w:val="24"/>
          <w:szCs w:val="24"/>
        </w:rPr>
        <w:t xml:space="preserve"> </w:t>
      </w:r>
      <w:proofErr w:type="spellStart"/>
      <w:r w:rsidR="00BB6CE6" w:rsidRPr="00BB6CE6">
        <w:rPr>
          <w:rFonts w:cstheme="minorHAnsi"/>
          <w:sz w:val="24"/>
          <w:szCs w:val="24"/>
        </w:rPr>
        <w:t>communities</w:t>
      </w:r>
      <w:proofErr w:type="spellEnd"/>
      <w:r w:rsidR="005055DE">
        <w:rPr>
          <w:rFonts w:cstheme="minorHAnsi"/>
          <w:sz w:val="24"/>
          <w:szCs w:val="24"/>
        </w:rPr>
        <w:t xml:space="preserve">, </w:t>
      </w:r>
      <w:proofErr w:type="spellStart"/>
      <w:r w:rsidRPr="0000720F">
        <w:rPr>
          <w:rFonts w:cstheme="minorHAnsi"/>
          <w:sz w:val="24"/>
          <w:szCs w:val="24"/>
        </w:rPr>
        <w:t>co-word</w:t>
      </w:r>
      <w:proofErr w:type="spellEnd"/>
      <w:r w:rsidRPr="0000720F">
        <w:rPr>
          <w:rFonts w:cstheme="minorHAnsi"/>
          <w:sz w:val="24"/>
          <w:szCs w:val="24"/>
        </w:rPr>
        <w:t xml:space="preserve"> </w:t>
      </w:r>
      <w:proofErr w:type="spellStart"/>
      <w:r w:rsidRPr="0000720F">
        <w:rPr>
          <w:rFonts w:cstheme="minorHAnsi"/>
          <w:sz w:val="24"/>
          <w:szCs w:val="24"/>
        </w:rPr>
        <w:t>analysis</w:t>
      </w:r>
      <w:proofErr w:type="spellEnd"/>
      <w:r w:rsidRPr="0000720F">
        <w:rPr>
          <w:rFonts w:cstheme="minorHAnsi"/>
          <w:sz w:val="24"/>
          <w:szCs w:val="24"/>
        </w:rPr>
        <w:t xml:space="preserve">, </w:t>
      </w:r>
      <w:proofErr w:type="spellStart"/>
      <w:r w:rsidRPr="0000720F">
        <w:rPr>
          <w:rFonts w:cstheme="minorHAnsi"/>
          <w:sz w:val="24"/>
          <w:szCs w:val="24"/>
        </w:rPr>
        <w:t>similarity</w:t>
      </w:r>
      <w:proofErr w:type="spellEnd"/>
    </w:p>
    <w:p w14:paraId="4CD33730" w14:textId="77777777" w:rsidR="00A33C7C" w:rsidRPr="00956007" w:rsidRDefault="00A33C7C" w:rsidP="004F3E94">
      <w:pPr>
        <w:spacing w:after="0" w:line="240" w:lineRule="auto"/>
        <w:jc w:val="both"/>
        <w:rPr>
          <w:rFonts w:cstheme="minorHAnsi"/>
          <w:sz w:val="24"/>
          <w:szCs w:val="24"/>
        </w:rPr>
      </w:pPr>
    </w:p>
    <w:p w14:paraId="2413B2B9" w14:textId="22BC2C31" w:rsidR="00350E8E" w:rsidRDefault="00350E8E" w:rsidP="00F70FB1">
      <w:pPr>
        <w:spacing w:after="0" w:line="240" w:lineRule="auto"/>
        <w:jc w:val="both"/>
        <w:rPr>
          <w:rFonts w:ascii="Arial" w:hAnsi="Arial" w:cs="Arial"/>
          <w:color w:val="222222"/>
          <w:shd w:val="clear" w:color="auto" w:fill="FFFFFF"/>
        </w:rPr>
      </w:pPr>
    </w:p>
    <w:p w14:paraId="27F81B22" w14:textId="1D87C1D3" w:rsidR="00350E8E" w:rsidRPr="0000720F" w:rsidRDefault="00350E8E" w:rsidP="00F70FB1">
      <w:pPr>
        <w:spacing w:after="0" w:line="240" w:lineRule="auto"/>
        <w:jc w:val="both"/>
        <w:rPr>
          <w:rFonts w:ascii="Arial" w:hAnsi="Arial" w:cs="Arial"/>
          <w:b/>
          <w:color w:val="222222"/>
          <w:sz w:val="24"/>
          <w:shd w:val="clear" w:color="auto" w:fill="FFFFFF"/>
        </w:rPr>
      </w:pPr>
      <w:r w:rsidRPr="0000720F">
        <w:rPr>
          <w:rFonts w:ascii="Arial" w:hAnsi="Arial" w:cs="Arial"/>
          <w:b/>
          <w:color w:val="222222"/>
          <w:sz w:val="24"/>
          <w:shd w:val="clear" w:color="auto" w:fill="FFFFFF"/>
        </w:rPr>
        <w:t xml:space="preserve">Resumen </w:t>
      </w:r>
    </w:p>
    <w:p w14:paraId="7C237D49" w14:textId="77777777" w:rsidR="00DC2D50" w:rsidRPr="00350E8E" w:rsidRDefault="00DC2D50" w:rsidP="00F70FB1">
      <w:pPr>
        <w:spacing w:after="0" w:line="240" w:lineRule="auto"/>
        <w:jc w:val="both"/>
        <w:rPr>
          <w:rFonts w:cstheme="minorHAnsi"/>
          <w:b/>
          <w:sz w:val="24"/>
          <w:szCs w:val="24"/>
        </w:rPr>
      </w:pPr>
    </w:p>
    <w:p w14:paraId="1D792D88" w14:textId="041D510E" w:rsidR="0067471A" w:rsidRPr="0067471A" w:rsidRDefault="0067471A" w:rsidP="0067471A">
      <w:pPr>
        <w:spacing w:after="0" w:line="240" w:lineRule="auto"/>
        <w:jc w:val="both"/>
        <w:rPr>
          <w:rFonts w:cstheme="minorHAnsi"/>
          <w:sz w:val="24"/>
          <w:szCs w:val="24"/>
        </w:rPr>
      </w:pPr>
      <w:r w:rsidRPr="0067471A">
        <w:rPr>
          <w:rFonts w:cstheme="minorHAnsi"/>
          <w:sz w:val="24"/>
          <w:szCs w:val="24"/>
        </w:rPr>
        <w:t xml:space="preserve">En este trabajo se realiza un estudio que tiene como propósito conocer la estructura temática y principales </w:t>
      </w:r>
      <w:r w:rsidR="00D6370B">
        <w:rPr>
          <w:rFonts w:cstheme="minorHAnsi"/>
          <w:sz w:val="24"/>
          <w:szCs w:val="24"/>
        </w:rPr>
        <w:t>frentes</w:t>
      </w:r>
      <w:r w:rsidRPr="0067471A">
        <w:rPr>
          <w:rFonts w:cstheme="minorHAnsi"/>
          <w:sz w:val="24"/>
          <w:szCs w:val="24"/>
        </w:rPr>
        <w:t xml:space="preserve"> de investigación en el campo de la </w:t>
      </w:r>
      <w:r w:rsidR="00362700">
        <w:rPr>
          <w:rFonts w:cstheme="minorHAnsi"/>
          <w:sz w:val="24"/>
          <w:szCs w:val="24"/>
        </w:rPr>
        <w:t>educación en ingeniería</w:t>
      </w:r>
      <w:r w:rsidRPr="0067471A">
        <w:rPr>
          <w:rFonts w:cstheme="minorHAnsi"/>
          <w:sz w:val="24"/>
          <w:szCs w:val="24"/>
        </w:rPr>
        <w:t xml:space="preserve">, a partir de la codificación de los títulos de los trabajos publicados en ocho revistas científicas que tienen como única línea editorial la </w:t>
      </w:r>
      <w:r w:rsidR="00DF1A2E">
        <w:rPr>
          <w:rFonts w:cstheme="minorHAnsi"/>
          <w:sz w:val="24"/>
          <w:szCs w:val="24"/>
        </w:rPr>
        <w:t>educación en ingeniería,</w:t>
      </w:r>
      <w:r w:rsidRPr="0067471A">
        <w:rPr>
          <w:rFonts w:cstheme="minorHAnsi"/>
          <w:sz w:val="24"/>
          <w:szCs w:val="24"/>
        </w:rPr>
        <w:t xml:space="preserve"> en el período de tiempo 2016- 2021. Las categorías identificadas se presentan en una red, destacando las frecuencias absolutas de citación. Sobre la base del análisis binario (presencia -1/ausencia-0) en cada revista, se realiza un estudio de similaridad entre las revistas, comprendidas como comunidades de prácticas de </w:t>
      </w:r>
      <w:r w:rsidR="0081080C">
        <w:rPr>
          <w:rFonts w:cstheme="minorHAnsi"/>
          <w:sz w:val="24"/>
          <w:szCs w:val="24"/>
        </w:rPr>
        <w:t>E</w:t>
      </w:r>
      <w:r w:rsidR="00345F22">
        <w:rPr>
          <w:rFonts w:cstheme="minorHAnsi"/>
          <w:sz w:val="24"/>
          <w:szCs w:val="24"/>
        </w:rPr>
        <w:t>ducación en Ingeniería</w:t>
      </w:r>
      <w:r w:rsidRPr="0067471A">
        <w:rPr>
          <w:rFonts w:cstheme="minorHAnsi"/>
          <w:sz w:val="24"/>
          <w:szCs w:val="24"/>
        </w:rPr>
        <w:t xml:space="preserve">, la que permite realizar valoraciones </w:t>
      </w:r>
      <w:r w:rsidR="009838F6">
        <w:rPr>
          <w:rFonts w:cstheme="minorHAnsi"/>
          <w:sz w:val="24"/>
          <w:szCs w:val="24"/>
        </w:rPr>
        <w:t xml:space="preserve">sobre los frentes de investigación de </w:t>
      </w:r>
      <w:r w:rsidRPr="0067471A">
        <w:rPr>
          <w:rFonts w:cstheme="minorHAnsi"/>
          <w:sz w:val="24"/>
          <w:szCs w:val="24"/>
        </w:rPr>
        <w:t>esta disciplina científica.</w:t>
      </w:r>
    </w:p>
    <w:p w14:paraId="4CD478F9" w14:textId="77777777" w:rsidR="0067471A" w:rsidRPr="0067471A" w:rsidRDefault="0067471A" w:rsidP="0067471A">
      <w:pPr>
        <w:spacing w:after="0" w:line="240" w:lineRule="auto"/>
        <w:jc w:val="both"/>
        <w:rPr>
          <w:rFonts w:cstheme="minorHAnsi"/>
          <w:sz w:val="24"/>
          <w:szCs w:val="24"/>
        </w:rPr>
      </w:pPr>
    </w:p>
    <w:p w14:paraId="6DBAE82C" w14:textId="3DFDE01E" w:rsidR="00350E8E" w:rsidRDefault="0067471A" w:rsidP="0067471A">
      <w:pPr>
        <w:spacing w:after="0" w:line="240" w:lineRule="auto"/>
        <w:jc w:val="both"/>
        <w:rPr>
          <w:rFonts w:cstheme="minorHAnsi"/>
          <w:sz w:val="24"/>
          <w:szCs w:val="24"/>
        </w:rPr>
      </w:pPr>
      <w:r w:rsidRPr="0067471A">
        <w:rPr>
          <w:rFonts w:cstheme="minorHAnsi"/>
          <w:sz w:val="24"/>
          <w:szCs w:val="24"/>
        </w:rPr>
        <w:t xml:space="preserve">Palabras claves: </w:t>
      </w:r>
      <w:r w:rsidR="00933381">
        <w:rPr>
          <w:rFonts w:cstheme="minorHAnsi"/>
          <w:sz w:val="24"/>
          <w:szCs w:val="24"/>
        </w:rPr>
        <w:t>educación en ingeniería</w:t>
      </w:r>
      <w:r w:rsidRPr="0067471A">
        <w:rPr>
          <w:rFonts w:cstheme="minorHAnsi"/>
          <w:sz w:val="24"/>
          <w:szCs w:val="24"/>
        </w:rPr>
        <w:t xml:space="preserve">, </w:t>
      </w:r>
      <w:r w:rsidR="00BB6CE6">
        <w:rPr>
          <w:rFonts w:cstheme="minorHAnsi"/>
          <w:sz w:val="24"/>
          <w:szCs w:val="24"/>
        </w:rPr>
        <w:t xml:space="preserve">comunidades de prácticas, </w:t>
      </w:r>
      <w:r w:rsidRPr="0067471A">
        <w:rPr>
          <w:rFonts w:cstheme="minorHAnsi"/>
          <w:sz w:val="24"/>
          <w:szCs w:val="24"/>
        </w:rPr>
        <w:t xml:space="preserve">análisis de </w:t>
      </w:r>
      <w:proofErr w:type="spellStart"/>
      <w:r w:rsidRPr="0067471A">
        <w:rPr>
          <w:rFonts w:cstheme="minorHAnsi"/>
          <w:sz w:val="24"/>
          <w:szCs w:val="24"/>
        </w:rPr>
        <w:t>copalabras</w:t>
      </w:r>
      <w:proofErr w:type="spellEnd"/>
      <w:r w:rsidRPr="0067471A">
        <w:rPr>
          <w:rFonts w:cstheme="minorHAnsi"/>
          <w:sz w:val="24"/>
          <w:szCs w:val="24"/>
        </w:rPr>
        <w:t xml:space="preserve">, </w:t>
      </w:r>
      <w:proofErr w:type="spellStart"/>
      <w:r w:rsidRPr="0067471A">
        <w:rPr>
          <w:rFonts w:cstheme="minorHAnsi"/>
          <w:sz w:val="24"/>
          <w:szCs w:val="24"/>
        </w:rPr>
        <w:t>similaridad</w:t>
      </w:r>
      <w:proofErr w:type="spellEnd"/>
      <w:r w:rsidR="003D0187">
        <w:rPr>
          <w:rFonts w:cstheme="minorHAnsi"/>
          <w:sz w:val="24"/>
          <w:szCs w:val="24"/>
        </w:rPr>
        <w:t>.</w:t>
      </w:r>
      <w:bookmarkStart w:id="0" w:name="_GoBack"/>
      <w:bookmarkEnd w:id="0"/>
    </w:p>
    <w:p w14:paraId="00E7811E" w14:textId="77777777" w:rsidR="0000720F" w:rsidRPr="00956007" w:rsidRDefault="0000720F" w:rsidP="004F3E94">
      <w:pPr>
        <w:spacing w:after="0" w:line="240" w:lineRule="auto"/>
        <w:jc w:val="both"/>
        <w:rPr>
          <w:rFonts w:cstheme="minorHAnsi"/>
          <w:sz w:val="24"/>
          <w:szCs w:val="24"/>
        </w:rPr>
      </w:pPr>
    </w:p>
    <w:p w14:paraId="6D56522E" w14:textId="77777777" w:rsidR="00B3068B" w:rsidRDefault="00B3068B" w:rsidP="004F3E94">
      <w:pPr>
        <w:spacing w:after="0" w:line="240" w:lineRule="auto"/>
        <w:jc w:val="both"/>
        <w:rPr>
          <w:rFonts w:cstheme="minorHAnsi"/>
          <w:b/>
          <w:sz w:val="24"/>
          <w:szCs w:val="24"/>
        </w:rPr>
      </w:pPr>
    </w:p>
    <w:p w14:paraId="2C889115" w14:textId="0FE207EA" w:rsidR="00A33C7C" w:rsidRPr="00C07C45" w:rsidRDefault="00C07C45" w:rsidP="004F3E94">
      <w:pPr>
        <w:spacing w:after="0" w:line="240" w:lineRule="auto"/>
        <w:jc w:val="both"/>
        <w:rPr>
          <w:rFonts w:cstheme="minorHAnsi"/>
          <w:b/>
          <w:sz w:val="24"/>
          <w:szCs w:val="24"/>
        </w:rPr>
      </w:pPr>
      <w:r w:rsidRPr="00C07C45">
        <w:rPr>
          <w:rFonts w:cstheme="minorHAnsi"/>
          <w:b/>
          <w:sz w:val="24"/>
          <w:szCs w:val="24"/>
        </w:rPr>
        <w:t>Introducción</w:t>
      </w:r>
    </w:p>
    <w:p w14:paraId="390CAA74" w14:textId="77777777" w:rsidR="007F06F5" w:rsidRPr="007F06F5" w:rsidRDefault="007F06F5" w:rsidP="007F06F5">
      <w:pPr>
        <w:spacing w:after="0" w:line="240" w:lineRule="auto"/>
        <w:jc w:val="both"/>
        <w:rPr>
          <w:rFonts w:cstheme="minorHAnsi"/>
          <w:sz w:val="24"/>
          <w:szCs w:val="24"/>
        </w:rPr>
      </w:pPr>
      <w:r w:rsidRPr="007F06F5">
        <w:rPr>
          <w:rFonts w:cstheme="minorHAnsi"/>
          <w:sz w:val="24"/>
          <w:szCs w:val="24"/>
        </w:rPr>
        <w:t xml:space="preserve">La ingeniería es una actividad que ha acompañado a la sociedad en su devenir, aportando una gama diversa de productos, servicios y soluciones a problemáticas que el hombre ha ido enfrentando en todos los ámbitos de la actividad humana (Hill 2013; </w:t>
      </w:r>
      <w:proofErr w:type="spellStart"/>
      <w:r w:rsidRPr="007F06F5">
        <w:rPr>
          <w:rFonts w:cstheme="minorHAnsi"/>
          <w:sz w:val="24"/>
          <w:szCs w:val="24"/>
        </w:rPr>
        <w:t>Garrison</w:t>
      </w:r>
      <w:proofErr w:type="spellEnd"/>
      <w:r w:rsidRPr="007F06F5">
        <w:rPr>
          <w:rFonts w:cstheme="minorHAnsi"/>
          <w:sz w:val="24"/>
          <w:szCs w:val="24"/>
        </w:rPr>
        <w:t xml:space="preserve"> 2018). Sus </w:t>
      </w:r>
      <w:r w:rsidRPr="007F06F5">
        <w:rPr>
          <w:rFonts w:cstheme="minorHAnsi"/>
          <w:sz w:val="24"/>
          <w:szCs w:val="24"/>
        </w:rPr>
        <w:lastRenderedPageBreak/>
        <w:t xml:space="preserve">soluciones están en la escala del macro y </w:t>
      </w:r>
      <w:proofErr w:type="spellStart"/>
      <w:r w:rsidRPr="007F06F5">
        <w:rPr>
          <w:rFonts w:cstheme="minorHAnsi"/>
          <w:sz w:val="24"/>
          <w:szCs w:val="24"/>
        </w:rPr>
        <w:t>micromundo</w:t>
      </w:r>
      <w:proofErr w:type="spellEnd"/>
      <w:r w:rsidRPr="007F06F5">
        <w:rPr>
          <w:rFonts w:cstheme="minorHAnsi"/>
          <w:sz w:val="24"/>
          <w:szCs w:val="24"/>
        </w:rPr>
        <w:t xml:space="preserve">, en aspectos relacionados con la cotidianidad, como es el empleo de las diferentes fuentes de energía, la comunicación, el transporte terrestre, aéreo y marítimo, la industria alimentaria y de las confecciones, la vivienda, entre otras no menos importantes. Grandes avances exhiben en el campo de la nanotecnología, la ingeniería biomédica, posibilitando una mirada a la misma esencia del ser humano, así como a la comprensión de los procesos de pensamiento desde las neurociencias, por solo citar algunos ámbitos. </w:t>
      </w:r>
    </w:p>
    <w:p w14:paraId="35F4088C" w14:textId="34888872" w:rsidR="007F06F5" w:rsidRPr="007F06F5" w:rsidRDefault="007F06F5" w:rsidP="007F06F5">
      <w:pPr>
        <w:spacing w:after="0" w:line="240" w:lineRule="auto"/>
        <w:jc w:val="both"/>
        <w:rPr>
          <w:rFonts w:cstheme="minorHAnsi"/>
          <w:sz w:val="24"/>
          <w:szCs w:val="24"/>
        </w:rPr>
      </w:pPr>
      <w:r w:rsidRPr="007F06F5">
        <w:rPr>
          <w:rFonts w:cstheme="minorHAnsi"/>
          <w:sz w:val="24"/>
          <w:szCs w:val="24"/>
        </w:rPr>
        <w:t>Lo anterior, nos hace compartir la idea de que, una mirada inteligente a la historia de la sociedad no se puede dar al margen de la contribución significativa de las ingenierías a la calidad de vida, a la conservación de ecosistemas, la supervivencia de especies de la flora y la fauna y del propio hombre (</w:t>
      </w:r>
      <w:proofErr w:type="spellStart"/>
      <w:r w:rsidRPr="007F06F5">
        <w:rPr>
          <w:rFonts w:cstheme="minorHAnsi"/>
          <w:sz w:val="24"/>
          <w:szCs w:val="24"/>
        </w:rPr>
        <w:t>Maraghy</w:t>
      </w:r>
      <w:proofErr w:type="spellEnd"/>
      <w:r w:rsidRPr="007F06F5">
        <w:rPr>
          <w:rFonts w:cstheme="minorHAnsi"/>
          <w:sz w:val="24"/>
          <w:szCs w:val="24"/>
        </w:rPr>
        <w:t xml:space="preserve"> 2011), así como al desarrollo económico y social de la humanidad (</w:t>
      </w:r>
      <w:proofErr w:type="spellStart"/>
      <w:r w:rsidRPr="007F06F5">
        <w:rPr>
          <w:rFonts w:cstheme="minorHAnsi"/>
          <w:sz w:val="24"/>
          <w:szCs w:val="24"/>
        </w:rPr>
        <w:t>Aslaksen</w:t>
      </w:r>
      <w:proofErr w:type="spellEnd"/>
      <w:r w:rsidRPr="007F06F5">
        <w:rPr>
          <w:rFonts w:cstheme="minorHAnsi"/>
          <w:sz w:val="24"/>
          <w:szCs w:val="24"/>
        </w:rPr>
        <w:t xml:space="preserve"> 2015). En este sentido</w:t>
      </w:r>
      <w:r w:rsidR="00A56CE4">
        <w:rPr>
          <w:rFonts w:cstheme="minorHAnsi"/>
          <w:sz w:val="24"/>
          <w:szCs w:val="24"/>
        </w:rPr>
        <w:t>,</w:t>
      </w:r>
      <w:r w:rsidRPr="007F06F5">
        <w:rPr>
          <w:rFonts w:cstheme="minorHAnsi"/>
          <w:sz w:val="24"/>
          <w:szCs w:val="24"/>
        </w:rPr>
        <w:t xml:space="preserve"> se pudiera asegurar que las sociedades han interpretado a la ingeniería como una palanca del desarrollo, a partir de la formación de capital humano con capacidad para la innovación (</w:t>
      </w:r>
      <w:proofErr w:type="spellStart"/>
      <w:r w:rsidRPr="007F06F5">
        <w:rPr>
          <w:rFonts w:cstheme="minorHAnsi"/>
          <w:sz w:val="24"/>
          <w:szCs w:val="24"/>
        </w:rPr>
        <w:t>Mohanty</w:t>
      </w:r>
      <w:proofErr w:type="spellEnd"/>
      <w:r w:rsidRPr="007F06F5">
        <w:rPr>
          <w:rFonts w:cstheme="minorHAnsi"/>
          <w:sz w:val="24"/>
          <w:szCs w:val="24"/>
        </w:rPr>
        <w:t xml:space="preserve"> &amp; </w:t>
      </w:r>
      <w:proofErr w:type="spellStart"/>
      <w:r w:rsidRPr="007F06F5">
        <w:rPr>
          <w:rFonts w:cstheme="minorHAnsi"/>
          <w:sz w:val="24"/>
          <w:szCs w:val="24"/>
        </w:rPr>
        <w:t>Dash</w:t>
      </w:r>
      <w:proofErr w:type="spellEnd"/>
      <w:r w:rsidRPr="007F06F5">
        <w:rPr>
          <w:rFonts w:cstheme="minorHAnsi"/>
          <w:sz w:val="24"/>
          <w:szCs w:val="24"/>
        </w:rPr>
        <w:t xml:space="preserve"> 2016), condicionado la mirada aguda sobre el ingeniero, sus saberes profesionales y el proceso de formación.</w:t>
      </w:r>
    </w:p>
    <w:p w14:paraId="508FD380" w14:textId="19AB1D5F" w:rsidR="004E3A23" w:rsidRPr="004E3A23" w:rsidRDefault="0083147C" w:rsidP="004E3A23">
      <w:pPr>
        <w:spacing w:after="0" w:line="240" w:lineRule="auto"/>
        <w:jc w:val="both"/>
        <w:rPr>
          <w:rFonts w:cstheme="minorHAnsi"/>
          <w:sz w:val="24"/>
          <w:szCs w:val="24"/>
        </w:rPr>
      </w:pPr>
      <w:r>
        <w:rPr>
          <w:rFonts w:cstheme="minorHAnsi"/>
          <w:sz w:val="24"/>
          <w:szCs w:val="24"/>
        </w:rPr>
        <w:t xml:space="preserve">La </w:t>
      </w:r>
      <w:r w:rsidR="0081080C">
        <w:rPr>
          <w:rFonts w:cstheme="minorHAnsi"/>
          <w:sz w:val="24"/>
          <w:szCs w:val="24"/>
        </w:rPr>
        <w:t xml:space="preserve">educación en ingeniería, </w:t>
      </w:r>
      <w:r w:rsidR="00D02F92">
        <w:rPr>
          <w:rFonts w:cstheme="minorHAnsi"/>
          <w:sz w:val="24"/>
          <w:szCs w:val="24"/>
        </w:rPr>
        <w:t>posee</w:t>
      </w:r>
      <w:r w:rsidR="007F06F5" w:rsidRPr="007F06F5">
        <w:rPr>
          <w:rFonts w:cstheme="minorHAnsi"/>
          <w:sz w:val="24"/>
          <w:szCs w:val="24"/>
        </w:rPr>
        <w:t xml:space="preserve"> una larga tradición, que tuvo en sus inicios los resultados más novedosos de los institutos tecnológicos y escuelas profesionales de la Europa de los siglos XVIII y principios del XIX, principalmente de Francia, Alemania y Gran Bretaña (Miller 1993 y König 2016). Como en toda ciencia, la comprensión de su surgimiento y evolución debe </w:t>
      </w:r>
      <w:r w:rsidR="007F06F5" w:rsidRPr="00885E8D">
        <w:rPr>
          <w:rFonts w:cstheme="minorHAnsi"/>
          <w:sz w:val="24"/>
          <w:szCs w:val="24"/>
        </w:rPr>
        <w:t xml:space="preserve">realizarse desde </w:t>
      </w:r>
      <w:r w:rsidR="00885E8D" w:rsidRPr="00885E8D">
        <w:rPr>
          <w:rFonts w:cstheme="minorHAnsi"/>
          <w:sz w:val="24"/>
          <w:szCs w:val="24"/>
        </w:rPr>
        <w:t xml:space="preserve">un </w:t>
      </w:r>
      <w:r w:rsidR="007F06F5" w:rsidRPr="00885E8D">
        <w:rPr>
          <w:rFonts w:cstheme="minorHAnsi"/>
          <w:sz w:val="24"/>
          <w:szCs w:val="24"/>
        </w:rPr>
        <w:t>análisis</w:t>
      </w:r>
      <w:r w:rsidR="007F06F5" w:rsidRPr="007F06F5">
        <w:rPr>
          <w:rFonts w:cstheme="minorHAnsi"/>
          <w:sz w:val="24"/>
          <w:szCs w:val="24"/>
        </w:rPr>
        <w:t xml:space="preserve"> integrado de factores epistémicos y </w:t>
      </w:r>
      <w:proofErr w:type="spellStart"/>
      <w:r w:rsidR="007F06F5" w:rsidRPr="007F06F5">
        <w:rPr>
          <w:rFonts w:cstheme="minorHAnsi"/>
          <w:sz w:val="24"/>
          <w:szCs w:val="24"/>
        </w:rPr>
        <w:t>extraepistémicos</w:t>
      </w:r>
      <w:proofErr w:type="spellEnd"/>
      <w:r w:rsidR="007F06F5" w:rsidRPr="007F06F5">
        <w:rPr>
          <w:rFonts w:cstheme="minorHAnsi"/>
          <w:sz w:val="24"/>
          <w:szCs w:val="24"/>
        </w:rPr>
        <w:t xml:space="preserve">; rebasando los enfoques reduccionistas de las ciencias que pretenden hacer un análisis sobre la base de categorías estrictamente intelectuales, lógicas y cognitivas, por un análisis sistémico e integral que interconecte la multiplicidad de variables que condicionan su desarrollo (Otero 1998, citado en Viales 2017). </w:t>
      </w:r>
      <w:r w:rsidR="004E3A23" w:rsidRPr="004E3A23">
        <w:rPr>
          <w:rFonts w:cstheme="minorHAnsi"/>
          <w:sz w:val="24"/>
          <w:szCs w:val="24"/>
        </w:rPr>
        <w:t>Lo anterior nos permite comprender, la importancia de los aspectos, sociohistóricos, las tradiciones e identidades nacionales (Suasnábar 2013),</w:t>
      </w:r>
      <w:r w:rsidR="00274842">
        <w:rPr>
          <w:rFonts w:cstheme="minorHAnsi"/>
          <w:sz w:val="24"/>
          <w:szCs w:val="24"/>
        </w:rPr>
        <w:t xml:space="preserve"> </w:t>
      </w:r>
      <w:r w:rsidR="004E3A23" w:rsidRPr="004E3A23">
        <w:rPr>
          <w:rFonts w:cstheme="minorHAnsi"/>
          <w:sz w:val="24"/>
          <w:szCs w:val="24"/>
        </w:rPr>
        <w:t>así como las tendencias y reclamos regionales y mundiales de un mundo globalizado, donde se produce cierta tendencia al comportamiento de las ciencias como un sistema “relativamente autónomo” de esas particularidades territoriales (</w:t>
      </w:r>
      <w:proofErr w:type="spellStart"/>
      <w:r w:rsidR="004E3A23" w:rsidRPr="004E3A23">
        <w:rPr>
          <w:rFonts w:cstheme="minorHAnsi"/>
          <w:sz w:val="24"/>
          <w:szCs w:val="24"/>
        </w:rPr>
        <w:t>Bartolucci</w:t>
      </w:r>
      <w:proofErr w:type="spellEnd"/>
      <w:r w:rsidR="004E3A23" w:rsidRPr="004E3A23">
        <w:rPr>
          <w:rFonts w:cstheme="minorHAnsi"/>
          <w:sz w:val="24"/>
          <w:szCs w:val="24"/>
        </w:rPr>
        <w:t xml:space="preserve"> 2017). </w:t>
      </w:r>
    </w:p>
    <w:p w14:paraId="2DE2C132" w14:textId="3C270CA6" w:rsidR="004E3A23" w:rsidRPr="004E3A23" w:rsidRDefault="004E3A23" w:rsidP="004E3A23">
      <w:pPr>
        <w:spacing w:after="0" w:line="240" w:lineRule="auto"/>
        <w:jc w:val="both"/>
        <w:rPr>
          <w:rFonts w:cstheme="minorHAnsi"/>
          <w:sz w:val="24"/>
          <w:szCs w:val="24"/>
        </w:rPr>
      </w:pPr>
      <w:r w:rsidRPr="004E3A23">
        <w:rPr>
          <w:rFonts w:cstheme="minorHAnsi"/>
          <w:sz w:val="24"/>
          <w:szCs w:val="24"/>
        </w:rPr>
        <w:t xml:space="preserve">La dinámica de las relaciones complejas entre los factores epistémicos y </w:t>
      </w:r>
      <w:proofErr w:type="spellStart"/>
      <w:r w:rsidRPr="004E3A23">
        <w:rPr>
          <w:rFonts w:cstheme="minorHAnsi"/>
          <w:sz w:val="24"/>
          <w:szCs w:val="24"/>
        </w:rPr>
        <w:t>extraepistémicos</w:t>
      </w:r>
      <w:proofErr w:type="spellEnd"/>
      <w:r w:rsidRPr="004E3A23">
        <w:rPr>
          <w:rFonts w:cstheme="minorHAnsi"/>
          <w:sz w:val="24"/>
          <w:szCs w:val="24"/>
        </w:rPr>
        <w:t xml:space="preserve"> dibujan una huella difusa en la evolución del cuadro de la </w:t>
      </w:r>
      <w:r w:rsidR="007F504E">
        <w:rPr>
          <w:rFonts w:cstheme="minorHAnsi"/>
          <w:sz w:val="24"/>
          <w:szCs w:val="24"/>
        </w:rPr>
        <w:t>educación en ingeniería</w:t>
      </w:r>
      <w:r w:rsidRPr="004E3A23">
        <w:rPr>
          <w:rFonts w:cstheme="minorHAnsi"/>
          <w:sz w:val="24"/>
          <w:szCs w:val="24"/>
        </w:rPr>
        <w:t xml:space="preserve"> como disciplina científica (corrientes, tendencias y escuelas), que no es ajena a las dinámicas propias de las disciplinas científicas o campos vecinos que operan como parte de sus fundamentos, como la filosofía, psicología, sociología, gestión, tecnología educativa,</w:t>
      </w:r>
      <w:r w:rsidR="005B4BDE">
        <w:rPr>
          <w:rFonts w:cstheme="minorHAnsi"/>
          <w:sz w:val="24"/>
          <w:szCs w:val="24"/>
        </w:rPr>
        <w:t xml:space="preserve"> </w:t>
      </w:r>
      <w:r w:rsidRPr="004E3A23">
        <w:rPr>
          <w:rFonts w:cstheme="minorHAnsi"/>
          <w:sz w:val="24"/>
          <w:szCs w:val="24"/>
        </w:rPr>
        <w:t>…</w:t>
      </w:r>
      <w:proofErr w:type="spellStart"/>
      <w:r w:rsidRPr="004E3A23">
        <w:rPr>
          <w:rFonts w:cstheme="minorHAnsi"/>
          <w:sz w:val="24"/>
          <w:szCs w:val="24"/>
        </w:rPr>
        <w:t xml:space="preserve">, así como </w:t>
      </w:r>
      <w:proofErr w:type="spellEnd"/>
      <w:r w:rsidRPr="004E3A23">
        <w:rPr>
          <w:rFonts w:cstheme="minorHAnsi"/>
          <w:sz w:val="24"/>
          <w:szCs w:val="24"/>
        </w:rPr>
        <w:t>a la naturaleza de la ingeniería como campo de formación</w:t>
      </w:r>
      <w:r w:rsidR="002A2698">
        <w:rPr>
          <w:rFonts w:cstheme="minorHAnsi"/>
          <w:sz w:val="24"/>
          <w:szCs w:val="24"/>
        </w:rPr>
        <w:t xml:space="preserve"> </w:t>
      </w:r>
      <w:r w:rsidR="002A2698" w:rsidRPr="002A2698">
        <w:rPr>
          <w:rFonts w:cstheme="minorHAnsi"/>
          <w:sz w:val="24"/>
          <w:szCs w:val="24"/>
        </w:rPr>
        <w:t>(</w:t>
      </w:r>
      <w:proofErr w:type="spellStart"/>
      <w:r w:rsidR="002A2698" w:rsidRPr="002A2698">
        <w:rPr>
          <w:rFonts w:cstheme="minorHAnsi"/>
          <w:sz w:val="24"/>
          <w:szCs w:val="24"/>
        </w:rPr>
        <w:t>Chavalarias</w:t>
      </w:r>
      <w:proofErr w:type="spellEnd"/>
      <w:r w:rsidR="002A2698" w:rsidRPr="002A2698">
        <w:rPr>
          <w:rFonts w:cstheme="minorHAnsi"/>
          <w:sz w:val="24"/>
          <w:szCs w:val="24"/>
        </w:rPr>
        <w:t xml:space="preserve"> &amp; </w:t>
      </w:r>
      <w:proofErr w:type="spellStart"/>
      <w:r w:rsidR="002A2698" w:rsidRPr="002A2698">
        <w:rPr>
          <w:rFonts w:cstheme="minorHAnsi"/>
          <w:sz w:val="24"/>
          <w:szCs w:val="24"/>
        </w:rPr>
        <w:t>Cointet</w:t>
      </w:r>
      <w:proofErr w:type="spellEnd"/>
      <w:r w:rsidR="002A2698" w:rsidRPr="002A2698">
        <w:rPr>
          <w:rFonts w:cstheme="minorHAnsi"/>
          <w:sz w:val="24"/>
          <w:szCs w:val="24"/>
        </w:rPr>
        <w:t xml:space="preserve"> 2013)</w:t>
      </w:r>
      <w:r w:rsidRPr="004E3A23">
        <w:rPr>
          <w:rFonts w:cstheme="minorHAnsi"/>
          <w:sz w:val="24"/>
          <w:szCs w:val="24"/>
        </w:rPr>
        <w:t xml:space="preserve">. Otro factor decisivo en el análisis de la evolución de las disciplinas científicas, a lo cual no ha estado ajena la </w:t>
      </w:r>
      <w:r w:rsidR="0081080C">
        <w:rPr>
          <w:rFonts w:cstheme="minorHAnsi"/>
          <w:sz w:val="24"/>
          <w:szCs w:val="24"/>
        </w:rPr>
        <w:t>EE</w:t>
      </w:r>
      <w:r w:rsidRPr="004E3A23">
        <w:rPr>
          <w:rFonts w:cstheme="minorHAnsi"/>
          <w:sz w:val="24"/>
          <w:szCs w:val="24"/>
        </w:rPr>
        <w:t>, lo constituye la membresía e identidad de la comunidad de esta ciencia, la que ha configurado ciertas racionalidades y comunidades de prácticas (</w:t>
      </w:r>
      <w:proofErr w:type="spellStart"/>
      <w:r w:rsidRPr="004E3A23">
        <w:rPr>
          <w:rFonts w:cstheme="minorHAnsi"/>
          <w:sz w:val="24"/>
          <w:szCs w:val="24"/>
        </w:rPr>
        <w:t>CoP</w:t>
      </w:r>
      <w:proofErr w:type="spellEnd"/>
      <w:r w:rsidRPr="004E3A23">
        <w:rPr>
          <w:rFonts w:cstheme="minorHAnsi"/>
          <w:sz w:val="24"/>
          <w:szCs w:val="24"/>
        </w:rPr>
        <w:t>).</w:t>
      </w:r>
    </w:p>
    <w:p w14:paraId="5794FBAC" w14:textId="369D7318" w:rsidR="00881B6C" w:rsidRPr="00D0471A" w:rsidRDefault="00541A0E" w:rsidP="004F3E94">
      <w:pPr>
        <w:spacing w:after="0" w:line="240" w:lineRule="auto"/>
        <w:jc w:val="both"/>
        <w:rPr>
          <w:rFonts w:cstheme="minorHAnsi"/>
          <w:sz w:val="24"/>
          <w:szCs w:val="24"/>
        </w:rPr>
      </w:pPr>
      <w:r w:rsidRPr="00D0471A">
        <w:rPr>
          <w:rFonts w:cstheme="minorHAnsi"/>
          <w:sz w:val="24"/>
          <w:szCs w:val="24"/>
        </w:rPr>
        <w:t>Los términos</w:t>
      </w:r>
      <w:r w:rsidR="003A2CF8" w:rsidRPr="00D0471A">
        <w:rPr>
          <w:rFonts w:cstheme="minorHAnsi"/>
          <w:sz w:val="24"/>
          <w:szCs w:val="24"/>
        </w:rPr>
        <w:t>,</w:t>
      </w:r>
      <w:r w:rsidR="00FF3997" w:rsidRPr="00D0471A">
        <w:rPr>
          <w:rFonts w:cstheme="minorHAnsi"/>
          <w:sz w:val="24"/>
          <w:szCs w:val="24"/>
        </w:rPr>
        <w:t xml:space="preserve"> </w:t>
      </w:r>
      <w:r w:rsidR="007F504E">
        <w:rPr>
          <w:rFonts w:cstheme="minorHAnsi"/>
          <w:sz w:val="24"/>
          <w:szCs w:val="24"/>
        </w:rPr>
        <w:t>educación en ingeniería</w:t>
      </w:r>
      <w:r w:rsidR="00FF3997" w:rsidRPr="00D0471A">
        <w:rPr>
          <w:rFonts w:cstheme="minorHAnsi"/>
          <w:sz w:val="24"/>
          <w:szCs w:val="24"/>
        </w:rPr>
        <w:t xml:space="preserve">, pedagogía de la ingeniería </w:t>
      </w:r>
      <w:r w:rsidR="003A2CF8" w:rsidRPr="00D0471A">
        <w:rPr>
          <w:rFonts w:cstheme="minorHAnsi"/>
          <w:sz w:val="24"/>
          <w:szCs w:val="24"/>
        </w:rPr>
        <w:t xml:space="preserve">o </w:t>
      </w:r>
      <w:r w:rsidR="00FF3997" w:rsidRPr="00D0471A">
        <w:rPr>
          <w:rFonts w:cstheme="minorHAnsi"/>
          <w:sz w:val="24"/>
          <w:szCs w:val="24"/>
        </w:rPr>
        <w:t>educación superior</w:t>
      </w:r>
      <w:r w:rsidR="00082B8E" w:rsidRPr="00D0471A">
        <w:rPr>
          <w:rFonts w:cstheme="minorHAnsi"/>
          <w:sz w:val="24"/>
          <w:szCs w:val="24"/>
        </w:rPr>
        <w:t xml:space="preserve"> en ingeniería</w:t>
      </w:r>
      <w:r w:rsidR="00125691" w:rsidRPr="00D0471A">
        <w:rPr>
          <w:rFonts w:cstheme="minorHAnsi"/>
          <w:sz w:val="24"/>
          <w:szCs w:val="24"/>
        </w:rPr>
        <w:t>,</w:t>
      </w:r>
      <w:r w:rsidR="00FF3997" w:rsidRPr="00D0471A">
        <w:rPr>
          <w:rFonts w:cstheme="minorHAnsi"/>
          <w:sz w:val="24"/>
          <w:szCs w:val="24"/>
        </w:rPr>
        <w:t xml:space="preserve"> </w:t>
      </w:r>
      <w:r w:rsidR="00082B8E" w:rsidRPr="00D0471A">
        <w:rPr>
          <w:rFonts w:cstheme="minorHAnsi"/>
          <w:sz w:val="24"/>
          <w:szCs w:val="24"/>
        </w:rPr>
        <w:t xml:space="preserve">fungen como dominaciones de un mismo campo disciplinar que se encarga del estudio de </w:t>
      </w:r>
      <w:r w:rsidR="00FF3997" w:rsidRPr="00D0471A">
        <w:rPr>
          <w:rFonts w:cstheme="minorHAnsi"/>
          <w:sz w:val="24"/>
          <w:szCs w:val="24"/>
        </w:rPr>
        <w:t>la formación de ingenieros</w:t>
      </w:r>
      <w:r w:rsidR="0097177D" w:rsidRPr="00D0471A">
        <w:rPr>
          <w:rFonts w:cstheme="minorHAnsi"/>
          <w:sz w:val="24"/>
          <w:szCs w:val="24"/>
        </w:rPr>
        <w:t xml:space="preserve">, por lo que sus cuerpos </w:t>
      </w:r>
      <w:r w:rsidR="00125691" w:rsidRPr="00D0471A">
        <w:rPr>
          <w:rFonts w:cstheme="minorHAnsi"/>
          <w:sz w:val="24"/>
          <w:szCs w:val="24"/>
        </w:rPr>
        <w:t>teóricos y metodológicos cumplen tareas cognitivas afines</w:t>
      </w:r>
      <w:r w:rsidR="004760B1" w:rsidRPr="00D0471A">
        <w:rPr>
          <w:rFonts w:cstheme="minorHAnsi"/>
          <w:sz w:val="24"/>
          <w:szCs w:val="24"/>
        </w:rPr>
        <w:t xml:space="preserve">. </w:t>
      </w:r>
      <w:r w:rsidR="003343B6" w:rsidRPr="00D0471A">
        <w:rPr>
          <w:rFonts w:cstheme="minorHAnsi"/>
          <w:sz w:val="24"/>
          <w:szCs w:val="24"/>
        </w:rPr>
        <w:t>En lo sucesivo</w:t>
      </w:r>
      <w:r w:rsidR="00D20367">
        <w:rPr>
          <w:rFonts w:cstheme="minorHAnsi"/>
          <w:sz w:val="24"/>
          <w:szCs w:val="24"/>
        </w:rPr>
        <w:t>,</w:t>
      </w:r>
      <w:r w:rsidR="003343B6" w:rsidRPr="00D0471A">
        <w:rPr>
          <w:rFonts w:cstheme="minorHAnsi"/>
          <w:sz w:val="24"/>
          <w:szCs w:val="24"/>
        </w:rPr>
        <w:t xml:space="preserve"> al referirnos a esta discipl</w:t>
      </w:r>
      <w:r w:rsidR="003A7C1C">
        <w:rPr>
          <w:rFonts w:cstheme="minorHAnsi"/>
          <w:sz w:val="24"/>
          <w:szCs w:val="24"/>
        </w:rPr>
        <w:t>ina usaremos el tér</w:t>
      </w:r>
      <w:r w:rsidR="003343B6" w:rsidRPr="00D0471A">
        <w:rPr>
          <w:rFonts w:cstheme="minorHAnsi"/>
          <w:sz w:val="24"/>
          <w:szCs w:val="24"/>
        </w:rPr>
        <w:t xml:space="preserve">mino </w:t>
      </w:r>
      <w:r w:rsidR="0081080C">
        <w:rPr>
          <w:rFonts w:cstheme="minorHAnsi"/>
          <w:sz w:val="24"/>
          <w:szCs w:val="24"/>
        </w:rPr>
        <w:t>EE</w:t>
      </w:r>
      <w:r w:rsidR="003343B6" w:rsidRPr="00D0471A">
        <w:rPr>
          <w:rFonts w:cstheme="minorHAnsi"/>
          <w:sz w:val="24"/>
          <w:szCs w:val="24"/>
        </w:rPr>
        <w:t xml:space="preserve">. </w:t>
      </w:r>
      <w:r w:rsidR="00A516DE" w:rsidRPr="00D0471A">
        <w:rPr>
          <w:rFonts w:cstheme="minorHAnsi"/>
          <w:sz w:val="24"/>
          <w:szCs w:val="24"/>
        </w:rPr>
        <w:t>Su ubicación dentro del cuadro de las ciencias desde sus inicios centr</w:t>
      </w:r>
      <w:r w:rsidR="00B272D4" w:rsidRPr="00D0471A">
        <w:rPr>
          <w:rFonts w:cstheme="minorHAnsi"/>
          <w:sz w:val="24"/>
          <w:szCs w:val="24"/>
        </w:rPr>
        <w:t>ó</w:t>
      </w:r>
      <w:r w:rsidR="00A516DE" w:rsidRPr="00D0471A">
        <w:rPr>
          <w:rFonts w:cstheme="minorHAnsi"/>
          <w:sz w:val="24"/>
          <w:szCs w:val="24"/>
        </w:rPr>
        <w:t xml:space="preserve"> el debate </w:t>
      </w:r>
      <w:r w:rsidR="003766BF" w:rsidRPr="00D0471A">
        <w:rPr>
          <w:rFonts w:cstheme="minorHAnsi"/>
          <w:sz w:val="24"/>
          <w:szCs w:val="24"/>
        </w:rPr>
        <w:t>en posiciones que la concebían como,</w:t>
      </w:r>
      <w:r w:rsidR="00A516DE" w:rsidRPr="00D0471A">
        <w:rPr>
          <w:rFonts w:cstheme="minorHAnsi"/>
          <w:sz w:val="24"/>
          <w:szCs w:val="24"/>
        </w:rPr>
        <w:t xml:space="preserve"> parte de la ingeniería o una ciencia de la educación. </w:t>
      </w:r>
      <w:r w:rsidR="00B272D4" w:rsidRPr="00D0471A">
        <w:rPr>
          <w:rFonts w:cstheme="minorHAnsi"/>
          <w:sz w:val="24"/>
          <w:szCs w:val="24"/>
        </w:rPr>
        <w:t>Desde fecha bien temprana</w:t>
      </w:r>
      <w:r w:rsidR="00E97B81" w:rsidRPr="00D0471A">
        <w:rPr>
          <w:rFonts w:cstheme="minorHAnsi"/>
          <w:sz w:val="24"/>
          <w:szCs w:val="24"/>
        </w:rPr>
        <w:t>,</w:t>
      </w:r>
      <w:r w:rsidR="00B272D4" w:rsidRPr="00D0471A">
        <w:rPr>
          <w:rFonts w:cstheme="minorHAnsi"/>
          <w:sz w:val="24"/>
          <w:szCs w:val="24"/>
        </w:rPr>
        <w:t xml:space="preserve"> en 1895 </w:t>
      </w:r>
      <w:r w:rsidR="00A516DE" w:rsidRPr="00D0471A">
        <w:rPr>
          <w:rFonts w:cstheme="minorHAnsi"/>
          <w:sz w:val="24"/>
          <w:szCs w:val="24"/>
        </w:rPr>
        <w:t xml:space="preserve">George F Swain en su discurso en la Tercera Reunión Anual de la Sociedad para la Promoción de la </w:t>
      </w:r>
      <w:r w:rsidR="0081080C">
        <w:rPr>
          <w:rFonts w:cstheme="minorHAnsi"/>
          <w:sz w:val="24"/>
          <w:szCs w:val="24"/>
        </w:rPr>
        <w:t>EE</w:t>
      </w:r>
      <w:r w:rsidR="00A516DE" w:rsidRPr="00D0471A">
        <w:rPr>
          <w:rFonts w:cstheme="minorHAnsi"/>
          <w:sz w:val="24"/>
          <w:szCs w:val="24"/>
        </w:rPr>
        <w:t xml:space="preserve"> </w:t>
      </w:r>
      <w:r w:rsidR="008244B4" w:rsidRPr="00D0471A">
        <w:rPr>
          <w:rFonts w:cstheme="minorHAnsi"/>
          <w:color w:val="202122"/>
          <w:sz w:val="24"/>
          <w:szCs w:val="24"/>
          <w:shd w:val="clear" w:color="auto" w:fill="FFFFFF"/>
        </w:rPr>
        <w:t>(SPEE)</w:t>
      </w:r>
      <w:r w:rsidR="00A32662" w:rsidRPr="00D0471A">
        <w:rPr>
          <w:rFonts w:cstheme="minorHAnsi"/>
          <w:color w:val="202122"/>
          <w:sz w:val="24"/>
          <w:szCs w:val="24"/>
          <w:shd w:val="clear" w:color="auto" w:fill="FFFFFF"/>
        </w:rPr>
        <w:t>,</w:t>
      </w:r>
      <w:r w:rsidR="008244B4" w:rsidRPr="00D0471A">
        <w:rPr>
          <w:rFonts w:cstheme="minorHAnsi"/>
          <w:color w:val="202122"/>
          <w:sz w:val="24"/>
          <w:szCs w:val="24"/>
          <w:shd w:val="clear" w:color="auto" w:fill="FFFFFF"/>
        </w:rPr>
        <w:t xml:space="preserve"> </w:t>
      </w:r>
      <w:r w:rsidR="00A32662" w:rsidRPr="00D0471A">
        <w:rPr>
          <w:rFonts w:cstheme="minorHAnsi"/>
          <w:color w:val="202122"/>
          <w:sz w:val="24"/>
          <w:szCs w:val="24"/>
          <w:shd w:val="clear" w:color="auto" w:fill="FFFFFF"/>
        </w:rPr>
        <w:t xml:space="preserve">actual American </w:t>
      </w:r>
      <w:proofErr w:type="spellStart"/>
      <w:r w:rsidR="00A32662" w:rsidRPr="00D0471A">
        <w:rPr>
          <w:rFonts w:cstheme="minorHAnsi"/>
          <w:color w:val="202122"/>
          <w:sz w:val="24"/>
          <w:szCs w:val="24"/>
          <w:shd w:val="clear" w:color="auto" w:fill="FFFFFF"/>
        </w:rPr>
        <w:t>Society</w:t>
      </w:r>
      <w:proofErr w:type="spellEnd"/>
      <w:r w:rsidR="00A32662" w:rsidRPr="00D0471A">
        <w:rPr>
          <w:rFonts w:cstheme="minorHAnsi"/>
          <w:color w:val="202122"/>
          <w:sz w:val="24"/>
          <w:szCs w:val="24"/>
          <w:shd w:val="clear" w:color="auto" w:fill="FFFFFF"/>
        </w:rPr>
        <w:t xml:space="preserve"> </w:t>
      </w:r>
      <w:proofErr w:type="spellStart"/>
      <w:r w:rsidR="00A32662" w:rsidRPr="00D0471A">
        <w:rPr>
          <w:rFonts w:cstheme="minorHAnsi"/>
          <w:color w:val="202122"/>
          <w:sz w:val="24"/>
          <w:szCs w:val="24"/>
          <w:shd w:val="clear" w:color="auto" w:fill="FFFFFF"/>
        </w:rPr>
        <w:t>for</w:t>
      </w:r>
      <w:proofErr w:type="spellEnd"/>
      <w:r w:rsidR="00A32662" w:rsidRPr="00D0471A">
        <w:rPr>
          <w:rFonts w:cstheme="minorHAnsi"/>
          <w:color w:val="202122"/>
          <w:sz w:val="24"/>
          <w:szCs w:val="24"/>
          <w:shd w:val="clear" w:color="auto" w:fill="FFFFFF"/>
        </w:rPr>
        <w:t xml:space="preserve"> </w:t>
      </w:r>
      <w:proofErr w:type="spellStart"/>
      <w:r w:rsidR="00A32662" w:rsidRPr="00D0471A">
        <w:rPr>
          <w:rFonts w:cstheme="minorHAnsi"/>
          <w:color w:val="202122"/>
          <w:sz w:val="24"/>
          <w:szCs w:val="24"/>
          <w:shd w:val="clear" w:color="auto" w:fill="FFFFFF"/>
        </w:rPr>
        <w:t>Engineering</w:t>
      </w:r>
      <w:proofErr w:type="spellEnd"/>
      <w:r w:rsidR="00A32662" w:rsidRPr="00D0471A">
        <w:rPr>
          <w:rFonts w:cstheme="minorHAnsi"/>
          <w:color w:val="202122"/>
          <w:sz w:val="24"/>
          <w:szCs w:val="24"/>
          <w:shd w:val="clear" w:color="auto" w:fill="FFFFFF"/>
        </w:rPr>
        <w:t xml:space="preserve"> </w:t>
      </w:r>
      <w:proofErr w:type="spellStart"/>
      <w:r w:rsidR="00A32662" w:rsidRPr="00D0471A">
        <w:rPr>
          <w:rFonts w:cstheme="minorHAnsi"/>
          <w:color w:val="202122"/>
          <w:sz w:val="24"/>
          <w:szCs w:val="24"/>
          <w:shd w:val="clear" w:color="auto" w:fill="FFFFFF"/>
        </w:rPr>
        <w:t>Education</w:t>
      </w:r>
      <w:proofErr w:type="spellEnd"/>
      <w:r w:rsidR="00B272D4" w:rsidRPr="00D0471A">
        <w:rPr>
          <w:rFonts w:cstheme="minorHAnsi"/>
          <w:color w:val="202122"/>
          <w:sz w:val="24"/>
          <w:szCs w:val="24"/>
          <w:shd w:val="clear" w:color="auto" w:fill="FFFFFF"/>
        </w:rPr>
        <w:t xml:space="preserve"> </w:t>
      </w:r>
      <w:r w:rsidR="00A32662" w:rsidRPr="00D0471A">
        <w:rPr>
          <w:rFonts w:cstheme="minorHAnsi"/>
          <w:color w:val="202122"/>
          <w:sz w:val="24"/>
          <w:szCs w:val="24"/>
          <w:shd w:val="clear" w:color="auto" w:fill="FFFFFF"/>
        </w:rPr>
        <w:t xml:space="preserve">(ASEE) en </w:t>
      </w:r>
      <w:r w:rsidR="00B272D4" w:rsidRPr="00D0471A">
        <w:rPr>
          <w:rFonts w:cstheme="minorHAnsi"/>
          <w:color w:val="202122"/>
          <w:sz w:val="24"/>
          <w:szCs w:val="24"/>
          <w:shd w:val="clear" w:color="auto" w:fill="FFFFFF"/>
        </w:rPr>
        <w:t>calidad de presidente</w:t>
      </w:r>
      <w:r w:rsidR="009D6DC8" w:rsidRPr="00D0471A">
        <w:rPr>
          <w:rFonts w:cstheme="minorHAnsi"/>
          <w:color w:val="202122"/>
          <w:sz w:val="24"/>
          <w:szCs w:val="24"/>
          <w:shd w:val="clear" w:color="auto" w:fill="FFFFFF"/>
        </w:rPr>
        <w:t>,</w:t>
      </w:r>
      <w:r w:rsidR="00B272D4" w:rsidRPr="00D0471A">
        <w:rPr>
          <w:rFonts w:cstheme="minorHAnsi"/>
          <w:color w:val="202122"/>
          <w:sz w:val="24"/>
          <w:szCs w:val="24"/>
          <w:shd w:val="clear" w:color="auto" w:fill="FFFFFF"/>
        </w:rPr>
        <w:t xml:space="preserve"> </w:t>
      </w:r>
      <w:r w:rsidR="00A516DE" w:rsidRPr="00D0471A">
        <w:rPr>
          <w:rFonts w:cstheme="minorHAnsi"/>
          <w:sz w:val="24"/>
          <w:szCs w:val="24"/>
        </w:rPr>
        <w:t xml:space="preserve">considera un error asumir la profesión de la enseñanza de la ingeniería como una rama de esta. </w:t>
      </w:r>
      <w:r w:rsidR="00E97B81" w:rsidRPr="00D0471A">
        <w:rPr>
          <w:rFonts w:cstheme="minorHAnsi"/>
          <w:sz w:val="24"/>
          <w:szCs w:val="24"/>
        </w:rPr>
        <w:t>En tal sentido p</w:t>
      </w:r>
      <w:r w:rsidR="003766BF" w:rsidRPr="00D0471A">
        <w:rPr>
          <w:rFonts w:cstheme="minorHAnsi"/>
          <w:sz w:val="24"/>
          <w:szCs w:val="24"/>
        </w:rPr>
        <w:t xml:space="preserve">lantea que la </w:t>
      </w:r>
      <w:r w:rsidR="0081080C">
        <w:rPr>
          <w:rFonts w:cstheme="minorHAnsi"/>
          <w:sz w:val="24"/>
          <w:szCs w:val="24"/>
        </w:rPr>
        <w:t>EE</w:t>
      </w:r>
      <w:r w:rsidR="003766BF" w:rsidRPr="00D0471A">
        <w:rPr>
          <w:rFonts w:cstheme="minorHAnsi"/>
          <w:sz w:val="24"/>
          <w:szCs w:val="24"/>
        </w:rPr>
        <w:t xml:space="preserve"> debía </w:t>
      </w:r>
      <w:r w:rsidR="00AE501F" w:rsidRPr="00D0471A">
        <w:rPr>
          <w:rFonts w:cstheme="minorHAnsi"/>
          <w:sz w:val="24"/>
          <w:szCs w:val="24"/>
        </w:rPr>
        <w:lastRenderedPageBreak/>
        <w:t>asumir</w:t>
      </w:r>
      <w:r w:rsidR="003766BF" w:rsidRPr="00D0471A">
        <w:rPr>
          <w:rFonts w:cstheme="minorHAnsi"/>
          <w:sz w:val="24"/>
          <w:szCs w:val="24"/>
        </w:rPr>
        <w:t xml:space="preserve"> un cuerpo de conocimientos y principios generales que rigen la enseñanza </w:t>
      </w:r>
      <w:r w:rsidR="00B3500F" w:rsidRPr="00D0471A">
        <w:rPr>
          <w:rFonts w:cstheme="minorHAnsi"/>
          <w:sz w:val="24"/>
          <w:szCs w:val="24"/>
        </w:rPr>
        <w:t xml:space="preserve">e integrarlas a </w:t>
      </w:r>
      <w:r w:rsidR="003766BF" w:rsidRPr="00D0471A">
        <w:rPr>
          <w:rFonts w:cstheme="minorHAnsi"/>
          <w:sz w:val="24"/>
          <w:szCs w:val="24"/>
        </w:rPr>
        <w:t>las especificidades propias de la enseñanza de esta profesión</w:t>
      </w:r>
      <w:r w:rsidR="00D848E4" w:rsidRPr="00D0471A">
        <w:rPr>
          <w:rFonts w:cstheme="minorHAnsi"/>
          <w:sz w:val="24"/>
          <w:szCs w:val="24"/>
        </w:rPr>
        <w:t xml:space="preserve"> </w:t>
      </w:r>
      <w:r w:rsidR="00D848E4" w:rsidRPr="00CA4D36">
        <w:rPr>
          <w:rFonts w:cstheme="minorHAnsi"/>
          <w:sz w:val="24"/>
          <w:szCs w:val="24"/>
        </w:rPr>
        <w:t>(Swain 1895)</w:t>
      </w:r>
      <w:r w:rsidR="003766BF" w:rsidRPr="00CA4D36">
        <w:rPr>
          <w:rFonts w:cstheme="minorHAnsi"/>
          <w:sz w:val="24"/>
          <w:szCs w:val="24"/>
        </w:rPr>
        <w:t>.</w:t>
      </w:r>
      <w:r w:rsidR="003766BF" w:rsidRPr="00D0471A">
        <w:rPr>
          <w:rFonts w:cstheme="minorHAnsi"/>
          <w:sz w:val="24"/>
          <w:szCs w:val="24"/>
        </w:rPr>
        <w:t xml:space="preserve"> </w:t>
      </w:r>
    </w:p>
    <w:p w14:paraId="0771A4A3" w14:textId="5CCC414C" w:rsidR="009006A9" w:rsidRPr="00956007" w:rsidRDefault="00E0769C" w:rsidP="00851312">
      <w:pPr>
        <w:spacing w:after="0" w:line="240" w:lineRule="auto"/>
        <w:jc w:val="both"/>
        <w:rPr>
          <w:rFonts w:cstheme="minorHAnsi"/>
          <w:sz w:val="24"/>
          <w:szCs w:val="24"/>
        </w:rPr>
      </w:pPr>
      <w:r w:rsidRPr="00D0471A">
        <w:rPr>
          <w:rFonts w:cstheme="minorHAnsi"/>
          <w:sz w:val="24"/>
          <w:szCs w:val="24"/>
        </w:rPr>
        <w:t xml:space="preserve">Ya por esta época se comenzaban a observar comunidades de prácticas en el campo de la </w:t>
      </w:r>
      <w:r w:rsidR="0081080C">
        <w:rPr>
          <w:rFonts w:cstheme="minorHAnsi"/>
          <w:sz w:val="24"/>
          <w:szCs w:val="24"/>
        </w:rPr>
        <w:t>EE</w:t>
      </w:r>
      <w:r w:rsidRPr="00D0471A">
        <w:rPr>
          <w:rFonts w:cstheme="minorHAnsi"/>
          <w:sz w:val="24"/>
          <w:szCs w:val="24"/>
        </w:rPr>
        <w:t xml:space="preserve"> que rebasaban las fronteras geográficas de las naciones, aún con las limitaciones que para ese momento imponían el naciente desarrollo de la</w:t>
      </w:r>
      <w:r w:rsidR="0071667E" w:rsidRPr="00D0471A">
        <w:rPr>
          <w:rFonts w:cstheme="minorHAnsi"/>
          <w:sz w:val="24"/>
          <w:szCs w:val="24"/>
        </w:rPr>
        <w:t>s</w:t>
      </w:r>
      <w:r w:rsidRPr="00D0471A">
        <w:rPr>
          <w:rFonts w:cstheme="minorHAnsi"/>
          <w:sz w:val="24"/>
          <w:szCs w:val="24"/>
        </w:rPr>
        <w:t xml:space="preserve"> </w:t>
      </w:r>
      <w:r w:rsidR="00DB4382" w:rsidRPr="00D0471A">
        <w:rPr>
          <w:rFonts w:cstheme="minorHAnsi"/>
          <w:sz w:val="24"/>
          <w:szCs w:val="24"/>
        </w:rPr>
        <w:t>comunicaci</w:t>
      </w:r>
      <w:r w:rsidR="0071667E" w:rsidRPr="00D0471A">
        <w:rPr>
          <w:rFonts w:cstheme="minorHAnsi"/>
          <w:sz w:val="24"/>
          <w:szCs w:val="24"/>
        </w:rPr>
        <w:t>ones</w:t>
      </w:r>
      <w:r w:rsidR="00DB4382" w:rsidRPr="00D0471A">
        <w:rPr>
          <w:rFonts w:cstheme="minorHAnsi"/>
          <w:sz w:val="24"/>
          <w:szCs w:val="24"/>
        </w:rPr>
        <w:t xml:space="preserve">, la </w:t>
      </w:r>
      <w:r w:rsidRPr="00D0471A">
        <w:rPr>
          <w:rFonts w:cstheme="minorHAnsi"/>
          <w:sz w:val="24"/>
          <w:szCs w:val="24"/>
        </w:rPr>
        <w:t>navegación y el transporte terrestre.</w:t>
      </w:r>
    </w:p>
    <w:p w14:paraId="50DB021E" w14:textId="02285CAF" w:rsidR="00CD12C2" w:rsidRPr="00956007" w:rsidRDefault="00851312" w:rsidP="00426640">
      <w:pPr>
        <w:pStyle w:val="Default"/>
        <w:jc w:val="both"/>
        <w:rPr>
          <w:rFonts w:asciiTheme="minorHAnsi" w:hAnsiTheme="minorHAnsi" w:cstheme="minorHAnsi"/>
        </w:rPr>
      </w:pPr>
      <w:r w:rsidRPr="00956007">
        <w:rPr>
          <w:rFonts w:asciiTheme="minorHAnsi" w:hAnsiTheme="minorHAnsi" w:cstheme="minorHAnsi"/>
        </w:rPr>
        <w:t xml:space="preserve">Integrando los trabajos de Wenger (2007) sobre las </w:t>
      </w:r>
      <w:proofErr w:type="spellStart"/>
      <w:r w:rsidRPr="00956007">
        <w:rPr>
          <w:rFonts w:asciiTheme="minorHAnsi" w:hAnsiTheme="minorHAnsi" w:cstheme="minorHAnsi"/>
        </w:rPr>
        <w:t>CoP</w:t>
      </w:r>
      <w:proofErr w:type="spellEnd"/>
      <w:r w:rsidRPr="00956007">
        <w:rPr>
          <w:rFonts w:asciiTheme="minorHAnsi" w:hAnsiTheme="minorHAnsi" w:cstheme="minorHAnsi"/>
        </w:rPr>
        <w:t xml:space="preserve"> por una parte</w:t>
      </w:r>
      <w:r w:rsidR="00F14356">
        <w:rPr>
          <w:rFonts w:asciiTheme="minorHAnsi" w:hAnsiTheme="minorHAnsi" w:cstheme="minorHAnsi"/>
        </w:rPr>
        <w:t xml:space="preserve">, así como las posiciones de </w:t>
      </w:r>
      <w:proofErr w:type="spellStart"/>
      <w:r w:rsidR="00F14356">
        <w:rPr>
          <w:rFonts w:asciiTheme="minorHAnsi" w:hAnsiTheme="minorHAnsi" w:cstheme="minorHAnsi"/>
        </w:rPr>
        <w:t>Fe</w:t>
      </w:r>
      <w:r w:rsidRPr="00956007">
        <w:rPr>
          <w:rFonts w:asciiTheme="minorHAnsi" w:hAnsiTheme="minorHAnsi" w:cstheme="minorHAnsi"/>
        </w:rPr>
        <w:t>nsham</w:t>
      </w:r>
      <w:proofErr w:type="spellEnd"/>
      <w:r w:rsidRPr="00956007">
        <w:rPr>
          <w:rFonts w:asciiTheme="minorHAnsi" w:hAnsiTheme="minorHAnsi" w:cstheme="minorHAnsi"/>
        </w:rPr>
        <w:t xml:space="preserve"> (2004) con relación al campo de la investigación en educación</w:t>
      </w:r>
      <w:r w:rsidR="00253B25">
        <w:rPr>
          <w:rFonts w:asciiTheme="minorHAnsi" w:hAnsiTheme="minorHAnsi" w:cstheme="minorHAnsi"/>
        </w:rPr>
        <w:t xml:space="preserve"> y</w:t>
      </w:r>
      <w:r w:rsidR="00C04D56" w:rsidRPr="00956007">
        <w:rPr>
          <w:rFonts w:asciiTheme="minorHAnsi" w:hAnsiTheme="minorHAnsi" w:cstheme="minorHAnsi"/>
        </w:rPr>
        <w:t xml:space="preserve"> los trabajos de</w:t>
      </w:r>
      <w:r w:rsidRPr="00956007">
        <w:rPr>
          <w:rFonts w:asciiTheme="minorHAnsi" w:hAnsiTheme="minorHAnsi" w:cstheme="minorHAnsi"/>
        </w:rPr>
        <w:t xml:space="preserve"> </w:t>
      </w:r>
      <w:proofErr w:type="spellStart"/>
      <w:r w:rsidR="004D0A12" w:rsidRPr="00956007">
        <w:rPr>
          <w:rFonts w:asciiTheme="minorHAnsi" w:hAnsiTheme="minorHAnsi" w:cstheme="minorHAnsi"/>
          <w:color w:val="000000" w:themeColor="text1"/>
          <w:shd w:val="clear" w:color="auto" w:fill="FFFFFF"/>
        </w:rPr>
        <w:t>Froyd</w:t>
      </w:r>
      <w:proofErr w:type="spellEnd"/>
      <w:r w:rsidR="004D0A12" w:rsidRPr="00956007">
        <w:rPr>
          <w:rFonts w:asciiTheme="minorHAnsi" w:hAnsiTheme="minorHAnsi" w:cstheme="minorHAnsi"/>
          <w:color w:val="000000" w:themeColor="text1"/>
          <w:shd w:val="clear" w:color="auto" w:fill="FFFFFF"/>
        </w:rPr>
        <w:t xml:space="preserve"> &amp; </w:t>
      </w:r>
      <w:proofErr w:type="spellStart"/>
      <w:r w:rsidR="004D0A12" w:rsidRPr="00956007">
        <w:rPr>
          <w:rFonts w:asciiTheme="minorHAnsi" w:hAnsiTheme="minorHAnsi" w:cstheme="minorHAnsi"/>
          <w:color w:val="000000" w:themeColor="text1"/>
          <w:shd w:val="clear" w:color="auto" w:fill="FFFFFF"/>
        </w:rPr>
        <w:t>Lohmann</w:t>
      </w:r>
      <w:proofErr w:type="spellEnd"/>
      <w:r w:rsidRPr="00956007">
        <w:rPr>
          <w:rFonts w:asciiTheme="minorHAnsi" w:hAnsiTheme="minorHAnsi" w:cstheme="minorHAnsi"/>
        </w:rPr>
        <w:t xml:space="preserve"> </w:t>
      </w:r>
      <w:r w:rsidR="004D0A12" w:rsidRPr="00956007">
        <w:rPr>
          <w:rFonts w:asciiTheme="minorHAnsi" w:hAnsiTheme="minorHAnsi" w:cstheme="minorHAnsi"/>
        </w:rPr>
        <w:t xml:space="preserve">(2014) </w:t>
      </w:r>
      <w:r w:rsidR="00C04D56" w:rsidRPr="00956007">
        <w:rPr>
          <w:rFonts w:asciiTheme="minorHAnsi" w:hAnsiTheme="minorHAnsi" w:cstheme="minorHAnsi"/>
        </w:rPr>
        <w:t xml:space="preserve">y </w:t>
      </w:r>
      <w:proofErr w:type="spellStart"/>
      <w:r w:rsidR="00C04D56" w:rsidRPr="00956007">
        <w:rPr>
          <w:rFonts w:asciiTheme="minorHAnsi" w:hAnsiTheme="minorHAnsi" w:cstheme="minorHAnsi"/>
        </w:rPr>
        <w:t>Finelli</w:t>
      </w:r>
      <w:proofErr w:type="spellEnd"/>
      <w:r w:rsidR="00C04D56" w:rsidRPr="00956007">
        <w:rPr>
          <w:rFonts w:asciiTheme="minorHAnsi" w:hAnsiTheme="minorHAnsi" w:cstheme="minorHAnsi"/>
        </w:rPr>
        <w:t xml:space="preserve"> &amp; Daly (2015) </w:t>
      </w:r>
      <w:r w:rsidRPr="00956007">
        <w:rPr>
          <w:rFonts w:asciiTheme="minorHAnsi" w:hAnsiTheme="minorHAnsi" w:cstheme="minorHAnsi"/>
        </w:rPr>
        <w:t xml:space="preserve">con relación a la </w:t>
      </w:r>
      <w:r w:rsidR="0081080C">
        <w:rPr>
          <w:rFonts w:asciiTheme="minorHAnsi" w:hAnsiTheme="minorHAnsi" w:cstheme="minorHAnsi"/>
        </w:rPr>
        <w:t>EE</w:t>
      </w:r>
      <w:r w:rsidRPr="00956007">
        <w:rPr>
          <w:rFonts w:asciiTheme="minorHAnsi" w:hAnsiTheme="minorHAnsi" w:cstheme="minorHAnsi"/>
        </w:rPr>
        <w:t xml:space="preserve"> como campo de investigación científica (EER)</w:t>
      </w:r>
      <w:r w:rsidR="00253B25">
        <w:rPr>
          <w:rFonts w:asciiTheme="minorHAnsi" w:hAnsiTheme="minorHAnsi" w:cstheme="minorHAnsi"/>
        </w:rPr>
        <w:t>,</w:t>
      </w:r>
      <w:r w:rsidR="00224AE9" w:rsidRPr="00956007">
        <w:rPr>
          <w:rFonts w:asciiTheme="minorHAnsi" w:hAnsiTheme="minorHAnsi" w:cstheme="minorHAnsi"/>
        </w:rPr>
        <w:t xml:space="preserve"> se puede asegurar que la</w:t>
      </w:r>
      <w:r w:rsidR="00424048">
        <w:rPr>
          <w:rFonts w:asciiTheme="minorHAnsi" w:hAnsiTheme="minorHAnsi" w:cstheme="minorHAnsi"/>
        </w:rPr>
        <w:t>s</w:t>
      </w:r>
      <w:r w:rsidR="00224AE9" w:rsidRPr="00956007">
        <w:rPr>
          <w:rFonts w:asciiTheme="minorHAnsi" w:hAnsiTheme="minorHAnsi" w:cstheme="minorHAnsi"/>
        </w:rPr>
        <w:t xml:space="preserve"> </w:t>
      </w:r>
      <w:proofErr w:type="spellStart"/>
      <w:r w:rsidR="00224AE9" w:rsidRPr="00956007">
        <w:rPr>
          <w:rFonts w:asciiTheme="minorHAnsi" w:hAnsiTheme="minorHAnsi" w:cstheme="minorHAnsi"/>
        </w:rPr>
        <w:t>CoP</w:t>
      </w:r>
      <w:proofErr w:type="spellEnd"/>
      <w:r w:rsidR="00224AE9" w:rsidRPr="00956007">
        <w:rPr>
          <w:rFonts w:asciiTheme="minorHAnsi" w:hAnsiTheme="minorHAnsi" w:cstheme="minorHAnsi"/>
        </w:rPr>
        <w:t xml:space="preserve"> de la </w:t>
      </w:r>
      <w:r w:rsidR="0081080C">
        <w:rPr>
          <w:rFonts w:asciiTheme="minorHAnsi" w:hAnsiTheme="minorHAnsi" w:cstheme="minorHAnsi"/>
        </w:rPr>
        <w:t>EE</w:t>
      </w:r>
      <w:r w:rsidR="00224AE9" w:rsidRPr="00956007">
        <w:rPr>
          <w:rFonts w:asciiTheme="minorHAnsi" w:hAnsiTheme="minorHAnsi" w:cstheme="minorHAnsi"/>
        </w:rPr>
        <w:t xml:space="preserve"> ha</w:t>
      </w:r>
      <w:r w:rsidR="00424048">
        <w:rPr>
          <w:rFonts w:asciiTheme="minorHAnsi" w:hAnsiTheme="minorHAnsi" w:cstheme="minorHAnsi"/>
        </w:rPr>
        <w:t>n</w:t>
      </w:r>
      <w:r w:rsidR="00224AE9" w:rsidRPr="00956007">
        <w:rPr>
          <w:rFonts w:asciiTheme="minorHAnsi" w:hAnsiTheme="minorHAnsi" w:cstheme="minorHAnsi"/>
        </w:rPr>
        <w:t xml:space="preserve"> alcanzado </w:t>
      </w:r>
      <w:r w:rsidR="00C12651" w:rsidRPr="00956007">
        <w:rPr>
          <w:rFonts w:asciiTheme="minorHAnsi" w:hAnsiTheme="minorHAnsi" w:cstheme="minorHAnsi"/>
        </w:rPr>
        <w:t xml:space="preserve">rasgos de </w:t>
      </w:r>
      <w:r w:rsidR="00224AE9" w:rsidRPr="00956007">
        <w:rPr>
          <w:rFonts w:asciiTheme="minorHAnsi" w:hAnsiTheme="minorHAnsi" w:cstheme="minorHAnsi"/>
        </w:rPr>
        <w:t>la fase de maduración</w:t>
      </w:r>
      <w:r w:rsidR="00C12651" w:rsidRPr="00956007">
        <w:rPr>
          <w:rFonts w:asciiTheme="minorHAnsi" w:hAnsiTheme="minorHAnsi" w:cstheme="minorHAnsi"/>
        </w:rPr>
        <w:t>, exhibiendo un dimensi</w:t>
      </w:r>
      <w:r w:rsidR="006141B0" w:rsidRPr="00956007">
        <w:rPr>
          <w:rFonts w:asciiTheme="minorHAnsi" w:hAnsiTheme="minorHAnsi" w:cstheme="minorHAnsi"/>
        </w:rPr>
        <w:t>onamiento</w:t>
      </w:r>
      <w:r w:rsidR="00C12651" w:rsidRPr="00956007">
        <w:rPr>
          <w:rFonts w:asciiTheme="minorHAnsi" w:hAnsiTheme="minorHAnsi" w:cstheme="minorHAnsi"/>
        </w:rPr>
        <w:t xml:space="preserve"> a escala internacional</w:t>
      </w:r>
      <w:r w:rsidR="00F62CFC" w:rsidRPr="00956007">
        <w:rPr>
          <w:rFonts w:asciiTheme="minorHAnsi" w:hAnsiTheme="minorHAnsi" w:cstheme="minorHAnsi"/>
        </w:rPr>
        <w:t xml:space="preserve">, como indicador de expresión de convergencia de problemáticas e intereses y calidad de </w:t>
      </w:r>
      <w:r w:rsidR="00D05520">
        <w:rPr>
          <w:rFonts w:asciiTheme="minorHAnsi" w:hAnsiTheme="minorHAnsi" w:cstheme="minorHAnsi"/>
        </w:rPr>
        <w:t>la investigación (</w:t>
      </w:r>
      <w:proofErr w:type="spellStart"/>
      <w:r w:rsidR="00D05520">
        <w:rPr>
          <w:rFonts w:asciiTheme="minorHAnsi" w:hAnsiTheme="minorHAnsi" w:cstheme="minorHAnsi"/>
        </w:rPr>
        <w:t>Coccia</w:t>
      </w:r>
      <w:proofErr w:type="spellEnd"/>
      <w:r w:rsidR="00D05520">
        <w:rPr>
          <w:rFonts w:asciiTheme="minorHAnsi" w:hAnsiTheme="minorHAnsi" w:cstheme="minorHAnsi"/>
        </w:rPr>
        <w:t xml:space="preserve"> &amp; Wang</w:t>
      </w:r>
      <w:r w:rsidR="00F62CFC" w:rsidRPr="00956007">
        <w:rPr>
          <w:rFonts w:asciiTheme="minorHAnsi" w:hAnsiTheme="minorHAnsi" w:cstheme="minorHAnsi"/>
        </w:rPr>
        <w:t xml:space="preserve"> 2016</w:t>
      </w:r>
      <w:r w:rsidR="00C83ED0" w:rsidRPr="00956007">
        <w:rPr>
          <w:rFonts w:asciiTheme="minorHAnsi" w:hAnsiTheme="minorHAnsi" w:cstheme="minorHAnsi"/>
          <w:noProof/>
        </w:rPr>
        <w:t>)</w:t>
      </w:r>
      <w:r w:rsidR="00F62CFC" w:rsidRPr="00956007">
        <w:rPr>
          <w:rFonts w:asciiTheme="minorHAnsi" w:hAnsiTheme="minorHAnsi" w:cstheme="minorHAnsi"/>
        </w:rPr>
        <w:t xml:space="preserve">, acompañado de la diversificación geográfica y </w:t>
      </w:r>
      <w:r w:rsidR="005F20D0" w:rsidRPr="00956007">
        <w:rPr>
          <w:rFonts w:asciiTheme="minorHAnsi" w:hAnsiTheme="minorHAnsi" w:cstheme="minorHAnsi"/>
        </w:rPr>
        <w:t>cultural de los miembros de la comunidad (</w:t>
      </w:r>
      <w:proofErr w:type="spellStart"/>
      <w:r w:rsidR="00D05520">
        <w:rPr>
          <w:rFonts w:asciiTheme="minorHAnsi" w:hAnsiTheme="minorHAnsi" w:cstheme="minorHAnsi"/>
          <w:color w:val="000000" w:themeColor="text1"/>
          <w:shd w:val="clear" w:color="auto" w:fill="FFFFFF"/>
        </w:rPr>
        <w:t>Ortoll</w:t>
      </w:r>
      <w:proofErr w:type="spellEnd"/>
      <w:r w:rsidR="00D05520">
        <w:rPr>
          <w:rFonts w:asciiTheme="minorHAnsi" w:hAnsiTheme="minorHAnsi" w:cstheme="minorHAnsi"/>
          <w:color w:val="000000" w:themeColor="text1"/>
          <w:shd w:val="clear" w:color="auto" w:fill="FFFFFF"/>
        </w:rPr>
        <w:t xml:space="preserve"> et al. </w:t>
      </w:r>
      <w:r w:rsidR="005F20D0" w:rsidRPr="00956007">
        <w:rPr>
          <w:rFonts w:asciiTheme="minorHAnsi" w:hAnsiTheme="minorHAnsi" w:cstheme="minorHAnsi"/>
          <w:color w:val="000000" w:themeColor="text1"/>
          <w:shd w:val="clear" w:color="auto" w:fill="FFFFFF"/>
        </w:rPr>
        <w:t>2014)</w:t>
      </w:r>
      <w:r w:rsidR="00C55F27" w:rsidRPr="00956007">
        <w:rPr>
          <w:rFonts w:asciiTheme="minorHAnsi" w:hAnsiTheme="minorHAnsi" w:cstheme="minorHAnsi"/>
          <w:color w:val="000000" w:themeColor="text1"/>
          <w:shd w:val="clear" w:color="auto" w:fill="FFFFFF"/>
        </w:rPr>
        <w:t>, donde l</w:t>
      </w:r>
      <w:r w:rsidR="00F33179" w:rsidRPr="00956007">
        <w:rPr>
          <w:rFonts w:asciiTheme="minorHAnsi" w:hAnsiTheme="minorHAnsi" w:cstheme="minorHAnsi"/>
          <w:color w:val="000000" w:themeColor="text1"/>
          <w:shd w:val="clear" w:color="auto" w:fill="FFFFFF"/>
        </w:rPr>
        <w:t xml:space="preserve">os </w:t>
      </w:r>
      <w:r w:rsidR="008B6802" w:rsidRPr="00956007">
        <w:rPr>
          <w:rFonts w:asciiTheme="minorHAnsi" w:hAnsiTheme="minorHAnsi" w:cstheme="minorHAnsi"/>
          <w:color w:val="000000" w:themeColor="text1"/>
          <w:shd w:val="clear" w:color="auto" w:fill="FFFFFF"/>
        </w:rPr>
        <w:t>investigadores</w:t>
      </w:r>
      <w:r w:rsidR="00F33179" w:rsidRPr="00956007">
        <w:rPr>
          <w:rFonts w:asciiTheme="minorHAnsi" w:hAnsiTheme="minorHAnsi" w:cstheme="minorHAnsi"/>
          <w:color w:val="000000" w:themeColor="text1"/>
          <w:shd w:val="clear" w:color="auto" w:fill="FFFFFF"/>
        </w:rPr>
        <w:t xml:space="preserve"> </w:t>
      </w:r>
      <w:r w:rsidR="008B6802" w:rsidRPr="00956007">
        <w:rPr>
          <w:rFonts w:asciiTheme="minorHAnsi" w:hAnsiTheme="minorHAnsi" w:cstheme="minorHAnsi"/>
        </w:rPr>
        <w:t xml:space="preserve">interactúan </w:t>
      </w:r>
      <w:r w:rsidR="005250B4" w:rsidRPr="00956007">
        <w:rPr>
          <w:rFonts w:asciiTheme="minorHAnsi" w:hAnsiTheme="minorHAnsi" w:cstheme="minorHAnsi"/>
        </w:rPr>
        <w:t>desde lógicas de comunicación híbrida</w:t>
      </w:r>
      <w:r w:rsidR="007A3D73" w:rsidRPr="00956007">
        <w:rPr>
          <w:rFonts w:asciiTheme="minorHAnsi" w:hAnsiTheme="minorHAnsi" w:cstheme="minorHAnsi"/>
        </w:rPr>
        <w:t>, que integran</w:t>
      </w:r>
      <w:r w:rsidR="005250B4" w:rsidRPr="00956007">
        <w:rPr>
          <w:rFonts w:asciiTheme="minorHAnsi" w:hAnsiTheme="minorHAnsi" w:cstheme="minorHAnsi"/>
        </w:rPr>
        <w:t xml:space="preserve"> espacios de trabajo cara a cara y </w:t>
      </w:r>
      <w:r w:rsidR="00E0769C" w:rsidRPr="00956007">
        <w:rPr>
          <w:rFonts w:asciiTheme="minorHAnsi" w:hAnsiTheme="minorHAnsi" w:cstheme="minorHAnsi"/>
        </w:rPr>
        <w:t>en red</w:t>
      </w:r>
      <w:r w:rsidR="00FB5C48" w:rsidRPr="00956007">
        <w:rPr>
          <w:rFonts w:asciiTheme="minorHAnsi" w:hAnsiTheme="minorHAnsi" w:cstheme="minorHAnsi"/>
        </w:rPr>
        <w:t>,</w:t>
      </w:r>
      <w:r w:rsidR="00E0769C" w:rsidRPr="00956007">
        <w:rPr>
          <w:rFonts w:asciiTheme="minorHAnsi" w:hAnsiTheme="minorHAnsi" w:cstheme="minorHAnsi"/>
        </w:rPr>
        <w:t xml:space="preserve"> mediado</w:t>
      </w:r>
      <w:r w:rsidR="00FB5C48" w:rsidRPr="00956007">
        <w:rPr>
          <w:rFonts w:asciiTheme="minorHAnsi" w:hAnsiTheme="minorHAnsi" w:cstheme="minorHAnsi"/>
        </w:rPr>
        <w:t>s</w:t>
      </w:r>
      <w:r w:rsidR="00E0769C" w:rsidRPr="00956007">
        <w:rPr>
          <w:rFonts w:asciiTheme="minorHAnsi" w:hAnsiTheme="minorHAnsi" w:cstheme="minorHAnsi"/>
        </w:rPr>
        <w:t xml:space="preserve"> por las TIC.</w:t>
      </w:r>
    </w:p>
    <w:p w14:paraId="0A221F2C" w14:textId="35A2B180" w:rsidR="007F5F57" w:rsidRDefault="009006A9" w:rsidP="00426640">
      <w:pPr>
        <w:pStyle w:val="Default"/>
        <w:jc w:val="both"/>
        <w:rPr>
          <w:rFonts w:asciiTheme="minorHAnsi" w:hAnsiTheme="minorHAnsi" w:cstheme="minorHAnsi"/>
        </w:rPr>
      </w:pPr>
      <w:r w:rsidRPr="00956007">
        <w:rPr>
          <w:rFonts w:asciiTheme="minorHAnsi" w:hAnsiTheme="minorHAnsi" w:cstheme="minorHAnsi"/>
        </w:rPr>
        <w:t>La comunidad exhibe una alta producción científica y una diversidad metodológica que le permite el cumplimiento de sus funciones cognitivas</w:t>
      </w:r>
      <w:r w:rsidR="003C5DFD" w:rsidRPr="00956007">
        <w:rPr>
          <w:rFonts w:asciiTheme="minorHAnsi" w:hAnsiTheme="minorHAnsi" w:cstheme="minorHAnsi"/>
        </w:rPr>
        <w:t>, así como espacios institucionaliz</w:t>
      </w:r>
      <w:r w:rsidR="00A50004" w:rsidRPr="00956007">
        <w:rPr>
          <w:rFonts w:asciiTheme="minorHAnsi" w:hAnsiTheme="minorHAnsi" w:cstheme="minorHAnsi"/>
        </w:rPr>
        <w:t>ados</w:t>
      </w:r>
      <w:r w:rsidR="003C5DFD" w:rsidRPr="00956007">
        <w:rPr>
          <w:rFonts w:asciiTheme="minorHAnsi" w:hAnsiTheme="minorHAnsi" w:cstheme="minorHAnsi"/>
        </w:rPr>
        <w:t xml:space="preserve"> de difusión de la ciencia en revistas, libros y eventos científicos</w:t>
      </w:r>
      <w:r w:rsidR="00DC23F9" w:rsidRPr="00956007">
        <w:rPr>
          <w:rFonts w:asciiTheme="minorHAnsi" w:hAnsiTheme="minorHAnsi" w:cstheme="minorHAnsi"/>
        </w:rPr>
        <w:t xml:space="preserve">, indicadores que han tenido presente </w:t>
      </w:r>
      <w:proofErr w:type="spellStart"/>
      <w:r w:rsidR="00DC23F9" w:rsidRPr="00956007">
        <w:rPr>
          <w:rFonts w:asciiTheme="minorHAnsi" w:hAnsiTheme="minorHAnsi" w:cstheme="minorHAnsi"/>
          <w:color w:val="222222"/>
          <w:shd w:val="clear" w:color="auto" w:fill="FFFFFF"/>
        </w:rPr>
        <w:t>Kezar</w:t>
      </w:r>
      <w:proofErr w:type="spellEnd"/>
      <w:r w:rsidR="00DC23F9" w:rsidRPr="00956007">
        <w:rPr>
          <w:rFonts w:asciiTheme="minorHAnsi" w:hAnsiTheme="minorHAnsi" w:cstheme="minorHAnsi"/>
          <w:color w:val="222222"/>
          <w:shd w:val="clear" w:color="auto" w:fill="FFFFFF"/>
        </w:rPr>
        <w:t xml:space="preserve"> &amp; </w:t>
      </w:r>
      <w:proofErr w:type="spellStart"/>
      <w:r w:rsidR="00DC23F9" w:rsidRPr="00956007">
        <w:rPr>
          <w:rFonts w:asciiTheme="minorHAnsi" w:hAnsiTheme="minorHAnsi" w:cstheme="minorHAnsi"/>
          <w:color w:val="222222"/>
          <w:shd w:val="clear" w:color="auto" w:fill="FFFFFF"/>
        </w:rPr>
        <w:t>Gehrke</w:t>
      </w:r>
      <w:proofErr w:type="spellEnd"/>
      <w:r w:rsidR="00DC23F9" w:rsidRPr="00956007">
        <w:rPr>
          <w:rFonts w:asciiTheme="minorHAnsi" w:hAnsiTheme="minorHAnsi" w:cstheme="minorHAnsi"/>
          <w:color w:val="222222"/>
          <w:shd w:val="clear" w:color="auto" w:fill="FFFFFF"/>
        </w:rPr>
        <w:t xml:space="preserve">, (2017) en estudio de las </w:t>
      </w:r>
      <w:proofErr w:type="spellStart"/>
      <w:r w:rsidR="00DC23F9" w:rsidRPr="00956007">
        <w:rPr>
          <w:rFonts w:asciiTheme="minorHAnsi" w:hAnsiTheme="minorHAnsi" w:cstheme="minorHAnsi"/>
          <w:color w:val="222222"/>
          <w:shd w:val="clear" w:color="auto" w:fill="FFFFFF"/>
        </w:rPr>
        <w:t>CoP</w:t>
      </w:r>
      <w:proofErr w:type="spellEnd"/>
      <w:r w:rsidR="00DC23F9" w:rsidRPr="00956007">
        <w:rPr>
          <w:rFonts w:asciiTheme="minorHAnsi" w:hAnsiTheme="minorHAnsi" w:cstheme="minorHAnsi"/>
          <w:color w:val="222222"/>
          <w:shd w:val="clear" w:color="auto" w:fill="FFFFFF"/>
        </w:rPr>
        <w:t xml:space="preserve"> en </w:t>
      </w:r>
      <w:r w:rsidR="004D76A5" w:rsidRPr="00956007">
        <w:rPr>
          <w:rFonts w:asciiTheme="minorHAnsi" w:hAnsiTheme="minorHAnsi" w:cstheme="minorHAnsi"/>
          <w:color w:val="222222"/>
          <w:shd w:val="clear" w:color="auto" w:fill="FFFFFF"/>
        </w:rPr>
        <w:t xml:space="preserve">el </w:t>
      </w:r>
      <w:r w:rsidR="004D76A5" w:rsidRPr="005B26A0">
        <w:rPr>
          <w:rFonts w:asciiTheme="minorHAnsi" w:hAnsiTheme="minorHAnsi" w:cstheme="minorHAnsi"/>
          <w:color w:val="222222"/>
          <w:shd w:val="clear" w:color="auto" w:fill="FFFFFF"/>
        </w:rPr>
        <w:t>contexto</w:t>
      </w:r>
      <w:r w:rsidR="005B26A0" w:rsidRPr="005B26A0">
        <w:rPr>
          <w:rFonts w:asciiTheme="minorHAnsi" w:hAnsiTheme="minorHAnsi" w:cstheme="minorHAnsi"/>
          <w:color w:val="222222"/>
          <w:shd w:val="clear" w:color="auto" w:fill="FFFFFF"/>
        </w:rPr>
        <w:t xml:space="preserve"> de la </w:t>
      </w:r>
      <w:r w:rsidR="00DC23F9" w:rsidRPr="005B26A0">
        <w:rPr>
          <w:rFonts w:asciiTheme="minorHAnsi" w:hAnsiTheme="minorHAnsi" w:cstheme="minorHAnsi"/>
          <w:color w:val="222222"/>
          <w:shd w:val="clear" w:color="auto" w:fill="FFFFFF"/>
        </w:rPr>
        <w:t xml:space="preserve">reforma de la </w:t>
      </w:r>
      <w:r w:rsidR="00A046B0" w:rsidRPr="005B26A0">
        <w:rPr>
          <w:rFonts w:asciiTheme="minorHAnsi" w:hAnsiTheme="minorHAnsi" w:cstheme="minorHAnsi"/>
          <w:color w:val="222222"/>
          <w:shd w:val="clear" w:color="auto" w:fill="FFFFFF"/>
        </w:rPr>
        <w:t>e</w:t>
      </w:r>
      <w:r w:rsidR="00DC23F9" w:rsidRPr="005B26A0">
        <w:rPr>
          <w:rFonts w:asciiTheme="minorHAnsi" w:hAnsiTheme="minorHAnsi" w:cstheme="minorHAnsi"/>
          <w:color w:val="222222"/>
          <w:shd w:val="clear" w:color="auto" w:fill="FFFFFF"/>
        </w:rPr>
        <w:t>ducación superior</w:t>
      </w:r>
      <w:r w:rsidR="00AE6A2E" w:rsidRPr="005B26A0">
        <w:rPr>
          <w:rFonts w:asciiTheme="minorHAnsi" w:hAnsiTheme="minorHAnsi" w:cstheme="minorHAnsi"/>
        </w:rPr>
        <w:t>.</w:t>
      </w:r>
      <w:r w:rsidR="00AE6A2E" w:rsidRPr="00956007">
        <w:rPr>
          <w:rFonts w:asciiTheme="minorHAnsi" w:hAnsiTheme="minorHAnsi" w:cstheme="minorHAnsi"/>
        </w:rPr>
        <w:t xml:space="preserve"> </w:t>
      </w:r>
    </w:p>
    <w:p w14:paraId="03EAFCD7" w14:textId="59DF2D5E" w:rsidR="00651EBE" w:rsidRPr="00956007" w:rsidRDefault="00AE6A2E" w:rsidP="00426640">
      <w:pPr>
        <w:pStyle w:val="Default"/>
        <w:jc w:val="both"/>
        <w:rPr>
          <w:rFonts w:asciiTheme="minorHAnsi" w:hAnsiTheme="minorHAnsi" w:cstheme="minorHAnsi"/>
        </w:rPr>
      </w:pPr>
      <w:r w:rsidRPr="00956007">
        <w:rPr>
          <w:rFonts w:asciiTheme="minorHAnsi" w:hAnsiTheme="minorHAnsi" w:cstheme="minorHAnsi"/>
        </w:rPr>
        <w:t xml:space="preserve">También </w:t>
      </w:r>
      <w:r w:rsidR="00B57C6D">
        <w:rPr>
          <w:rFonts w:asciiTheme="minorHAnsi" w:hAnsiTheme="minorHAnsi" w:cstheme="minorHAnsi"/>
        </w:rPr>
        <w:t xml:space="preserve">estas </w:t>
      </w:r>
      <w:proofErr w:type="spellStart"/>
      <w:r w:rsidR="00B57C6D">
        <w:rPr>
          <w:rFonts w:asciiTheme="minorHAnsi" w:hAnsiTheme="minorHAnsi" w:cstheme="minorHAnsi"/>
        </w:rPr>
        <w:t>CoP</w:t>
      </w:r>
      <w:proofErr w:type="spellEnd"/>
      <w:r w:rsidR="00B57C6D">
        <w:rPr>
          <w:rFonts w:asciiTheme="minorHAnsi" w:hAnsiTheme="minorHAnsi" w:cstheme="minorHAnsi"/>
        </w:rPr>
        <w:t xml:space="preserve"> </w:t>
      </w:r>
      <w:r w:rsidR="003C5DFD" w:rsidRPr="00956007">
        <w:rPr>
          <w:rFonts w:asciiTheme="minorHAnsi" w:hAnsiTheme="minorHAnsi" w:cstheme="minorHAnsi"/>
        </w:rPr>
        <w:t>ha</w:t>
      </w:r>
      <w:r w:rsidR="00B57C6D">
        <w:rPr>
          <w:rFonts w:asciiTheme="minorHAnsi" w:hAnsiTheme="minorHAnsi" w:cstheme="minorHAnsi"/>
        </w:rPr>
        <w:t>n</w:t>
      </w:r>
      <w:r w:rsidR="003C5DFD" w:rsidRPr="00956007">
        <w:rPr>
          <w:rFonts w:asciiTheme="minorHAnsi" w:hAnsiTheme="minorHAnsi" w:cstheme="minorHAnsi"/>
        </w:rPr>
        <w:t xml:space="preserve"> logrado </w:t>
      </w:r>
      <w:r w:rsidR="00A50004" w:rsidRPr="00956007">
        <w:rPr>
          <w:rFonts w:asciiTheme="minorHAnsi" w:hAnsiTheme="minorHAnsi" w:cstheme="minorHAnsi"/>
        </w:rPr>
        <w:t>establecer alianzas</w:t>
      </w:r>
      <w:r w:rsidR="003C5DFD" w:rsidRPr="00956007">
        <w:rPr>
          <w:rFonts w:asciiTheme="minorHAnsi" w:hAnsiTheme="minorHAnsi" w:cstheme="minorHAnsi"/>
        </w:rPr>
        <w:t xml:space="preserve"> con </w:t>
      </w:r>
      <w:r w:rsidR="00A50004" w:rsidRPr="00956007">
        <w:rPr>
          <w:rFonts w:asciiTheme="minorHAnsi" w:hAnsiTheme="minorHAnsi" w:cstheme="minorHAnsi"/>
        </w:rPr>
        <w:t>los actores claves del proceso de formación de ingenieros</w:t>
      </w:r>
      <w:r w:rsidR="00A046B0" w:rsidRPr="00956007">
        <w:rPr>
          <w:rFonts w:asciiTheme="minorHAnsi" w:hAnsiTheme="minorHAnsi" w:cstheme="minorHAnsi"/>
        </w:rPr>
        <w:t xml:space="preserve">, donde se destaca las relaciones con las asociaciones profesionales de ingenieros, las que han tenido un rol protagónico en el cumplimiento de acciones estratégicas en la </w:t>
      </w:r>
      <w:r w:rsidR="0081080C">
        <w:rPr>
          <w:rFonts w:asciiTheme="minorHAnsi" w:hAnsiTheme="minorHAnsi" w:cstheme="minorHAnsi"/>
        </w:rPr>
        <w:t>EE</w:t>
      </w:r>
      <w:r w:rsidR="00A046B0" w:rsidRPr="00956007">
        <w:rPr>
          <w:rFonts w:asciiTheme="minorHAnsi" w:hAnsiTheme="minorHAnsi" w:cstheme="minorHAnsi"/>
        </w:rPr>
        <w:t xml:space="preserve">, sensibilizando actores, fomentando la identidad profesional, la cohesión y crecimiento de la membresía, creando instancias especializas en esta temática y en la socialización de la ciencia, entre otras tantas acciones. </w:t>
      </w:r>
      <w:r w:rsidR="001C258F" w:rsidRPr="00956007">
        <w:rPr>
          <w:rFonts w:asciiTheme="minorHAnsi" w:hAnsiTheme="minorHAnsi" w:cstheme="minorHAnsi"/>
        </w:rPr>
        <w:t xml:space="preserve">Estas asociaciones existen a escala país, región y a nivel internacional, muchas de las cuales están relacionadas </w:t>
      </w:r>
      <w:r w:rsidR="00AC6E09">
        <w:rPr>
          <w:rFonts w:asciiTheme="minorHAnsi" w:hAnsiTheme="minorHAnsi" w:cstheme="minorHAnsi"/>
        </w:rPr>
        <w:t>con</w:t>
      </w:r>
      <w:r w:rsidR="001C258F" w:rsidRPr="00956007">
        <w:rPr>
          <w:rFonts w:asciiTheme="minorHAnsi" w:hAnsiTheme="minorHAnsi" w:cstheme="minorHAnsi"/>
        </w:rPr>
        <w:t xml:space="preserve"> ingenierías específicas</w:t>
      </w:r>
      <w:r w:rsidR="00E072D1" w:rsidRPr="00956007">
        <w:rPr>
          <w:rFonts w:asciiTheme="minorHAnsi" w:hAnsiTheme="minorHAnsi" w:cstheme="minorHAnsi"/>
        </w:rPr>
        <w:t xml:space="preserve">, en ellas existen en su interior, áreas, secciones o comités encargados de la </w:t>
      </w:r>
      <w:r w:rsidR="0081080C">
        <w:rPr>
          <w:rFonts w:asciiTheme="minorHAnsi" w:hAnsiTheme="minorHAnsi" w:cstheme="minorHAnsi"/>
        </w:rPr>
        <w:t>EE</w:t>
      </w:r>
      <w:r w:rsidR="00E072D1" w:rsidRPr="00956007">
        <w:rPr>
          <w:rFonts w:asciiTheme="minorHAnsi" w:hAnsiTheme="minorHAnsi" w:cstheme="minorHAnsi"/>
        </w:rPr>
        <w:t>.</w:t>
      </w:r>
      <w:r w:rsidR="001C258F" w:rsidRPr="00956007">
        <w:rPr>
          <w:rFonts w:asciiTheme="minorHAnsi" w:hAnsiTheme="minorHAnsi" w:cstheme="minorHAnsi"/>
        </w:rPr>
        <w:t xml:space="preserve"> </w:t>
      </w:r>
      <w:r w:rsidR="000C17C4" w:rsidRPr="00956007">
        <w:rPr>
          <w:rFonts w:asciiTheme="minorHAnsi" w:hAnsiTheme="minorHAnsi" w:cstheme="minorHAnsi"/>
        </w:rPr>
        <w:t xml:space="preserve">La mayoría de estas asociaciones están afiliadas a la </w:t>
      </w:r>
      <w:proofErr w:type="spellStart"/>
      <w:r w:rsidR="001C258F" w:rsidRPr="00956007">
        <w:rPr>
          <w:rFonts w:asciiTheme="minorHAnsi" w:hAnsiTheme="minorHAnsi" w:cstheme="minorHAnsi"/>
        </w:rPr>
        <w:t>World</w:t>
      </w:r>
      <w:proofErr w:type="spellEnd"/>
      <w:r w:rsidR="001C258F" w:rsidRPr="00956007">
        <w:rPr>
          <w:rFonts w:asciiTheme="minorHAnsi" w:hAnsiTheme="minorHAnsi" w:cstheme="minorHAnsi"/>
        </w:rPr>
        <w:t xml:space="preserve"> </w:t>
      </w:r>
      <w:proofErr w:type="spellStart"/>
      <w:r w:rsidR="001C258F" w:rsidRPr="00956007">
        <w:rPr>
          <w:rFonts w:asciiTheme="minorHAnsi" w:hAnsiTheme="minorHAnsi" w:cstheme="minorHAnsi"/>
        </w:rPr>
        <w:t>Federation</w:t>
      </w:r>
      <w:proofErr w:type="spellEnd"/>
      <w:r w:rsidR="001C258F" w:rsidRPr="00956007">
        <w:rPr>
          <w:rFonts w:asciiTheme="minorHAnsi" w:hAnsiTheme="minorHAnsi" w:cstheme="minorHAnsi"/>
        </w:rPr>
        <w:t xml:space="preserve"> </w:t>
      </w:r>
      <w:proofErr w:type="spellStart"/>
      <w:r w:rsidR="001C258F" w:rsidRPr="00956007">
        <w:rPr>
          <w:rFonts w:asciiTheme="minorHAnsi" w:hAnsiTheme="minorHAnsi" w:cstheme="minorHAnsi"/>
        </w:rPr>
        <w:t>of</w:t>
      </w:r>
      <w:proofErr w:type="spellEnd"/>
      <w:r w:rsidR="001C258F" w:rsidRPr="00956007">
        <w:rPr>
          <w:rFonts w:asciiTheme="minorHAnsi" w:hAnsiTheme="minorHAnsi" w:cstheme="minorHAnsi"/>
        </w:rPr>
        <w:t xml:space="preserve"> </w:t>
      </w:r>
      <w:proofErr w:type="spellStart"/>
      <w:r w:rsidR="001C258F" w:rsidRPr="00956007">
        <w:rPr>
          <w:rFonts w:asciiTheme="minorHAnsi" w:hAnsiTheme="minorHAnsi" w:cstheme="minorHAnsi"/>
        </w:rPr>
        <w:t>Engineering</w:t>
      </w:r>
      <w:proofErr w:type="spellEnd"/>
      <w:r w:rsidR="001C258F" w:rsidRPr="00956007">
        <w:rPr>
          <w:rFonts w:asciiTheme="minorHAnsi" w:hAnsiTheme="minorHAnsi" w:cstheme="minorHAnsi"/>
        </w:rPr>
        <w:t xml:space="preserve"> </w:t>
      </w:r>
      <w:proofErr w:type="spellStart"/>
      <w:r w:rsidR="001C258F" w:rsidRPr="00956007">
        <w:rPr>
          <w:rFonts w:asciiTheme="minorHAnsi" w:hAnsiTheme="minorHAnsi" w:cstheme="minorHAnsi"/>
        </w:rPr>
        <w:t>Organizations</w:t>
      </w:r>
      <w:proofErr w:type="spellEnd"/>
      <w:r w:rsidR="001C258F" w:rsidRPr="00956007">
        <w:rPr>
          <w:rFonts w:asciiTheme="minorHAnsi" w:hAnsiTheme="minorHAnsi" w:cstheme="minorHAnsi"/>
        </w:rPr>
        <w:t xml:space="preserve"> (WFEO)</w:t>
      </w:r>
      <w:r w:rsidR="00A6320A" w:rsidRPr="00956007">
        <w:rPr>
          <w:rFonts w:asciiTheme="minorHAnsi" w:hAnsiTheme="minorHAnsi" w:cstheme="minorHAnsi"/>
        </w:rPr>
        <w:t xml:space="preserve"> </w:t>
      </w:r>
      <w:r w:rsidR="00E072D1" w:rsidRPr="00956007">
        <w:rPr>
          <w:rFonts w:asciiTheme="minorHAnsi" w:hAnsiTheme="minorHAnsi" w:cstheme="minorHAnsi"/>
        </w:rPr>
        <w:t>que agrupa en la actualidad asociaciones de 93 países</w:t>
      </w:r>
      <w:r w:rsidR="00E57F9A">
        <w:rPr>
          <w:rFonts w:asciiTheme="minorHAnsi" w:hAnsiTheme="minorHAnsi" w:cstheme="minorHAnsi"/>
        </w:rPr>
        <w:t>, la que posee un</w:t>
      </w:r>
      <w:r w:rsidR="00E31042" w:rsidRPr="00956007">
        <w:rPr>
          <w:rFonts w:asciiTheme="minorHAnsi" w:hAnsiTheme="minorHAnsi" w:cstheme="minorHAnsi"/>
        </w:rPr>
        <w:t xml:space="preserve"> Comité Técnico de </w:t>
      </w:r>
      <w:r w:rsidR="0081080C">
        <w:rPr>
          <w:rFonts w:asciiTheme="minorHAnsi" w:hAnsiTheme="minorHAnsi" w:cstheme="minorHAnsi"/>
        </w:rPr>
        <w:t>EE</w:t>
      </w:r>
      <w:r w:rsidR="00E31042" w:rsidRPr="00956007">
        <w:rPr>
          <w:rFonts w:asciiTheme="minorHAnsi" w:hAnsiTheme="minorHAnsi" w:cstheme="minorHAnsi"/>
        </w:rPr>
        <w:t xml:space="preserve"> (WFEO – CEIE). </w:t>
      </w:r>
    </w:p>
    <w:p w14:paraId="2C532D70" w14:textId="5F3ED003" w:rsidR="001E2F9B" w:rsidRPr="00956007" w:rsidRDefault="00D4637F" w:rsidP="00580374">
      <w:pPr>
        <w:spacing w:after="0" w:line="240" w:lineRule="auto"/>
        <w:jc w:val="both"/>
        <w:rPr>
          <w:rFonts w:cstheme="minorHAnsi"/>
          <w:sz w:val="24"/>
          <w:szCs w:val="24"/>
        </w:rPr>
      </w:pPr>
      <w:r w:rsidRPr="006A2897">
        <w:rPr>
          <w:rFonts w:cstheme="minorHAnsi"/>
          <w:sz w:val="24"/>
          <w:szCs w:val="24"/>
        </w:rPr>
        <w:t xml:space="preserve">Como parte de los procesos de consolidación </w:t>
      </w:r>
      <w:r w:rsidR="00F126CB" w:rsidRPr="006A2897">
        <w:rPr>
          <w:rFonts w:cstheme="minorHAnsi"/>
          <w:sz w:val="24"/>
          <w:szCs w:val="24"/>
        </w:rPr>
        <w:t xml:space="preserve">de </w:t>
      </w:r>
      <w:r w:rsidRPr="006A2897">
        <w:rPr>
          <w:rFonts w:cstheme="minorHAnsi"/>
          <w:sz w:val="24"/>
          <w:szCs w:val="24"/>
        </w:rPr>
        <w:t xml:space="preserve">la </w:t>
      </w:r>
      <w:r w:rsidR="0081080C">
        <w:rPr>
          <w:rFonts w:cstheme="minorHAnsi"/>
          <w:sz w:val="24"/>
          <w:szCs w:val="24"/>
        </w:rPr>
        <w:t>EE</w:t>
      </w:r>
      <w:r w:rsidRPr="006A2897">
        <w:rPr>
          <w:rFonts w:cstheme="minorHAnsi"/>
          <w:sz w:val="24"/>
          <w:szCs w:val="24"/>
        </w:rPr>
        <w:t xml:space="preserve"> se </w:t>
      </w:r>
      <w:r w:rsidR="00C20814" w:rsidRPr="006A2897">
        <w:rPr>
          <w:rFonts w:cstheme="minorHAnsi"/>
          <w:sz w:val="24"/>
          <w:szCs w:val="24"/>
        </w:rPr>
        <w:t xml:space="preserve">observa </w:t>
      </w:r>
      <w:r w:rsidRPr="006A2897">
        <w:rPr>
          <w:rFonts w:cstheme="minorHAnsi"/>
          <w:sz w:val="24"/>
          <w:szCs w:val="24"/>
        </w:rPr>
        <w:t xml:space="preserve">un crecimiento significativo </w:t>
      </w:r>
      <w:r w:rsidR="008745A5" w:rsidRPr="006A2897">
        <w:rPr>
          <w:rFonts w:cstheme="minorHAnsi"/>
          <w:sz w:val="24"/>
          <w:szCs w:val="24"/>
        </w:rPr>
        <w:t>en la institucionalización</w:t>
      </w:r>
      <w:r w:rsidRPr="006A2897">
        <w:rPr>
          <w:rFonts w:cstheme="minorHAnsi"/>
          <w:sz w:val="24"/>
          <w:szCs w:val="24"/>
        </w:rPr>
        <w:t xml:space="preserve"> de cátedras y centros de investigación </w:t>
      </w:r>
      <w:r w:rsidR="00C20814" w:rsidRPr="006A2897">
        <w:rPr>
          <w:rFonts w:cstheme="minorHAnsi"/>
          <w:sz w:val="24"/>
          <w:szCs w:val="24"/>
        </w:rPr>
        <w:t xml:space="preserve">donde se gestiona </w:t>
      </w:r>
      <w:r w:rsidRPr="006A2897">
        <w:rPr>
          <w:rFonts w:cstheme="minorHAnsi"/>
          <w:sz w:val="24"/>
          <w:szCs w:val="24"/>
        </w:rPr>
        <w:t xml:space="preserve">la formación </w:t>
      </w:r>
      <w:r w:rsidR="00B76519" w:rsidRPr="006A2897">
        <w:rPr>
          <w:rFonts w:cstheme="minorHAnsi"/>
          <w:sz w:val="24"/>
          <w:szCs w:val="24"/>
        </w:rPr>
        <w:t xml:space="preserve">académica </w:t>
      </w:r>
      <w:r w:rsidRPr="006A2897">
        <w:rPr>
          <w:rFonts w:cstheme="minorHAnsi"/>
          <w:sz w:val="24"/>
          <w:szCs w:val="24"/>
        </w:rPr>
        <w:t xml:space="preserve">postgraduada </w:t>
      </w:r>
      <w:r w:rsidR="00C20814" w:rsidRPr="006A2897">
        <w:rPr>
          <w:rFonts w:cstheme="minorHAnsi"/>
          <w:sz w:val="24"/>
          <w:szCs w:val="24"/>
        </w:rPr>
        <w:t xml:space="preserve">de los docentes (especialidades, maestrías, doctorados y postdoctorados) </w:t>
      </w:r>
      <w:r w:rsidRPr="006A2897">
        <w:rPr>
          <w:rFonts w:cstheme="minorHAnsi"/>
          <w:sz w:val="24"/>
          <w:szCs w:val="24"/>
        </w:rPr>
        <w:t xml:space="preserve">y </w:t>
      </w:r>
      <w:r w:rsidR="007027AC" w:rsidRPr="006A2897">
        <w:rPr>
          <w:rFonts w:cstheme="minorHAnsi"/>
          <w:sz w:val="24"/>
          <w:szCs w:val="24"/>
        </w:rPr>
        <w:t xml:space="preserve">los proyectos de </w:t>
      </w:r>
      <w:r w:rsidRPr="006A2897">
        <w:rPr>
          <w:rFonts w:cstheme="minorHAnsi"/>
          <w:sz w:val="24"/>
          <w:szCs w:val="24"/>
        </w:rPr>
        <w:t>investigación en este campo</w:t>
      </w:r>
      <w:r w:rsidR="00C20814" w:rsidRPr="006A2897">
        <w:rPr>
          <w:rFonts w:cstheme="minorHAnsi"/>
          <w:sz w:val="24"/>
          <w:szCs w:val="24"/>
        </w:rPr>
        <w:t xml:space="preserve"> </w:t>
      </w:r>
      <w:r w:rsidR="00D05520" w:rsidRPr="006A2897">
        <w:rPr>
          <w:rFonts w:cstheme="minorHAnsi"/>
          <w:sz w:val="24"/>
          <w:szCs w:val="24"/>
        </w:rPr>
        <w:t>(Bernhard</w:t>
      </w:r>
      <w:r w:rsidRPr="006A2897">
        <w:rPr>
          <w:rFonts w:cstheme="minorHAnsi"/>
          <w:sz w:val="24"/>
          <w:szCs w:val="24"/>
        </w:rPr>
        <w:t xml:space="preserve"> 2018). </w:t>
      </w:r>
      <w:r w:rsidR="001E2F9B" w:rsidRPr="006A2897">
        <w:rPr>
          <w:rFonts w:cstheme="minorHAnsi"/>
          <w:sz w:val="24"/>
          <w:szCs w:val="24"/>
        </w:rPr>
        <w:t xml:space="preserve">Idea que concuerda con los resultados del estudio realizado por Graham (2018) </w:t>
      </w:r>
      <w:r w:rsidR="006C4F1B" w:rsidRPr="006A2897">
        <w:rPr>
          <w:rFonts w:cstheme="minorHAnsi"/>
          <w:sz w:val="24"/>
          <w:szCs w:val="24"/>
        </w:rPr>
        <w:t xml:space="preserve">al estado del arte de la </w:t>
      </w:r>
      <w:r w:rsidR="0081080C">
        <w:rPr>
          <w:rFonts w:cstheme="minorHAnsi"/>
          <w:sz w:val="24"/>
          <w:szCs w:val="24"/>
        </w:rPr>
        <w:t>EE</w:t>
      </w:r>
      <w:r w:rsidR="001E2F9B" w:rsidRPr="006A2897">
        <w:rPr>
          <w:rFonts w:cstheme="minorHAnsi"/>
          <w:sz w:val="24"/>
          <w:szCs w:val="24"/>
        </w:rPr>
        <w:t xml:space="preserve">, el cual revela que está ocurriendo un corrimiento en el eje global de liderazgo en la </w:t>
      </w:r>
      <w:r w:rsidR="0081080C">
        <w:rPr>
          <w:rFonts w:cstheme="minorHAnsi"/>
          <w:sz w:val="24"/>
          <w:szCs w:val="24"/>
        </w:rPr>
        <w:t>EE</w:t>
      </w:r>
      <w:r w:rsidR="001E2F9B" w:rsidRPr="006A2897">
        <w:rPr>
          <w:rFonts w:cstheme="minorHAnsi"/>
          <w:sz w:val="24"/>
          <w:szCs w:val="24"/>
        </w:rPr>
        <w:t>, donde las universidades que emergen en el “top-</w:t>
      </w:r>
      <w:proofErr w:type="spellStart"/>
      <w:r w:rsidR="001E2F9B" w:rsidRPr="006A2897">
        <w:rPr>
          <w:rFonts w:cstheme="minorHAnsi"/>
          <w:sz w:val="24"/>
          <w:szCs w:val="24"/>
        </w:rPr>
        <w:t>ranked</w:t>
      </w:r>
      <w:proofErr w:type="spellEnd"/>
      <w:r w:rsidR="001E2F9B" w:rsidRPr="006A2897">
        <w:rPr>
          <w:rFonts w:cstheme="minorHAnsi"/>
          <w:sz w:val="24"/>
          <w:szCs w:val="24"/>
        </w:rPr>
        <w:t xml:space="preserve"> </w:t>
      </w:r>
      <w:proofErr w:type="spellStart"/>
      <w:r w:rsidR="001E2F9B" w:rsidRPr="006A2897">
        <w:rPr>
          <w:rFonts w:cstheme="minorHAnsi"/>
          <w:sz w:val="24"/>
          <w:szCs w:val="24"/>
        </w:rPr>
        <w:t>institutions</w:t>
      </w:r>
      <w:proofErr w:type="spellEnd"/>
      <w:r w:rsidR="001E2F9B" w:rsidRPr="006A2897">
        <w:rPr>
          <w:rFonts w:cstheme="minorHAnsi"/>
          <w:sz w:val="24"/>
          <w:szCs w:val="24"/>
        </w:rPr>
        <w:t xml:space="preserve">” están situando la investigación en </w:t>
      </w:r>
      <w:r w:rsidR="0081080C">
        <w:rPr>
          <w:rFonts w:cstheme="minorHAnsi"/>
          <w:sz w:val="24"/>
          <w:szCs w:val="24"/>
        </w:rPr>
        <w:t>EE</w:t>
      </w:r>
      <w:r w:rsidR="001E2F9B" w:rsidRPr="006A2897">
        <w:rPr>
          <w:rFonts w:cstheme="minorHAnsi"/>
          <w:sz w:val="24"/>
          <w:szCs w:val="24"/>
        </w:rPr>
        <w:t xml:space="preserve"> como herramienta central para lograrlo, apoyados por un fuerte liderazgo académico</w:t>
      </w:r>
      <w:r w:rsidR="00E03449" w:rsidRPr="006A2897">
        <w:rPr>
          <w:rFonts w:cstheme="minorHAnsi"/>
          <w:sz w:val="24"/>
          <w:szCs w:val="24"/>
        </w:rPr>
        <w:t xml:space="preserve"> para conducir los cambios, unido a una </w:t>
      </w:r>
      <w:r w:rsidR="001E2F9B" w:rsidRPr="006A2897">
        <w:rPr>
          <w:rFonts w:cstheme="minorHAnsi"/>
          <w:sz w:val="24"/>
          <w:szCs w:val="24"/>
        </w:rPr>
        <w:t>sólida cultura del trabajo colegiado.</w:t>
      </w:r>
    </w:p>
    <w:p w14:paraId="380C22D8" w14:textId="77777777" w:rsidR="00E43F36" w:rsidRPr="00956007" w:rsidRDefault="00E43F36" w:rsidP="004F3E94">
      <w:pPr>
        <w:spacing w:after="0" w:line="240" w:lineRule="auto"/>
        <w:jc w:val="both"/>
        <w:rPr>
          <w:rFonts w:cstheme="minorHAnsi"/>
          <w:bCs/>
          <w:sz w:val="24"/>
          <w:szCs w:val="24"/>
        </w:rPr>
      </w:pPr>
    </w:p>
    <w:p w14:paraId="4EA64EAB" w14:textId="34764399" w:rsidR="00752285" w:rsidRPr="00E975A6" w:rsidRDefault="00CF49A1" w:rsidP="004F3E94">
      <w:pPr>
        <w:spacing w:after="0" w:line="240" w:lineRule="auto"/>
        <w:jc w:val="both"/>
        <w:rPr>
          <w:rFonts w:cstheme="minorHAnsi"/>
          <w:b/>
          <w:sz w:val="24"/>
          <w:szCs w:val="24"/>
        </w:rPr>
      </w:pPr>
      <w:r w:rsidRPr="00E975A6">
        <w:rPr>
          <w:rFonts w:cstheme="minorHAnsi"/>
          <w:b/>
          <w:bCs/>
          <w:sz w:val="24"/>
          <w:szCs w:val="24"/>
        </w:rPr>
        <w:t>Materiales y métodos</w:t>
      </w:r>
      <w:r w:rsidRPr="00E975A6">
        <w:rPr>
          <w:rFonts w:cstheme="minorHAnsi"/>
          <w:b/>
          <w:sz w:val="24"/>
          <w:szCs w:val="24"/>
        </w:rPr>
        <w:t>.</w:t>
      </w:r>
      <w:r w:rsidR="00C061B0" w:rsidRPr="00E975A6">
        <w:rPr>
          <w:rFonts w:cstheme="minorHAnsi"/>
          <w:b/>
          <w:sz w:val="24"/>
          <w:szCs w:val="24"/>
        </w:rPr>
        <w:t xml:space="preserve"> </w:t>
      </w:r>
    </w:p>
    <w:p w14:paraId="0137AE9B" w14:textId="05D273C0" w:rsidR="00E3272B" w:rsidRPr="00956007" w:rsidRDefault="00E3272B" w:rsidP="004F3E94">
      <w:pPr>
        <w:spacing w:after="0" w:line="240" w:lineRule="auto"/>
        <w:rPr>
          <w:rFonts w:cstheme="minorHAnsi"/>
          <w:noProof/>
          <w:sz w:val="24"/>
          <w:szCs w:val="24"/>
        </w:rPr>
      </w:pPr>
    </w:p>
    <w:p w14:paraId="78C87E1A" w14:textId="6C71A8A4" w:rsidR="006D1001" w:rsidRPr="00956007" w:rsidRDefault="0020362F" w:rsidP="00E05B19">
      <w:pPr>
        <w:spacing w:after="0" w:line="240" w:lineRule="auto"/>
        <w:jc w:val="both"/>
        <w:rPr>
          <w:rFonts w:cstheme="minorHAnsi"/>
          <w:noProof/>
          <w:sz w:val="24"/>
          <w:szCs w:val="24"/>
        </w:rPr>
      </w:pPr>
      <w:r w:rsidRPr="00956007">
        <w:rPr>
          <w:rFonts w:cstheme="minorHAnsi"/>
          <w:noProof/>
          <w:sz w:val="24"/>
          <w:szCs w:val="24"/>
        </w:rPr>
        <w:t xml:space="preserve">Para conocer las tendencias en los campos de investigación al interior de la </w:t>
      </w:r>
      <w:r w:rsidR="0081080C">
        <w:rPr>
          <w:rFonts w:cstheme="minorHAnsi"/>
          <w:noProof/>
          <w:sz w:val="24"/>
          <w:szCs w:val="24"/>
        </w:rPr>
        <w:t>EE</w:t>
      </w:r>
      <w:r w:rsidRPr="00956007">
        <w:rPr>
          <w:rFonts w:cstheme="minorHAnsi"/>
          <w:noProof/>
          <w:sz w:val="24"/>
          <w:szCs w:val="24"/>
        </w:rPr>
        <w:t xml:space="preserve"> </w:t>
      </w:r>
      <w:r w:rsidR="004006D3" w:rsidRPr="00956007">
        <w:rPr>
          <w:rFonts w:cstheme="minorHAnsi"/>
          <w:noProof/>
          <w:sz w:val="24"/>
          <w:szCs w:val="24"/>
        </w:rPr>
        <w:t xml:space="preserve">a escala internacional </w:t>
      </w:r>
      <w:r w:rsidR="00675F92" w:rsidRPr="00956007">
        <w:rPr>
          <w:rFonts w:cstheme="minorHAnsi"/>
          <w:noProof/>
          <w:sz w:val="24"/>
          <w:szCs w:val="24"/>
        </w:rPr>
        <w:t xml:space="preserve">se diseñó un </w:t>
      </w:r>
      <w:r w:rsidR="004057CC" w:rsidRPr="00956007">
        <w:rPr>
          <w:rFonts w:cstheme="minorHAnsi"/>
          <w:noProof/>
          <w:sz w:val="24"/>
          <w:szCs w:val="24"/>
        </w:rPr>
        <w:t xml:space="preserve">estudio </w:t>
      </w:r>
      <w:r w:rsidR="000413E0" w:rsidRPr="00956007">
        <w:rPr>
          <w:rFonts w:cstheme="minorHAnsi"/>
          <w:noProof/>
          <w:sz w:val="24"/>
          <w:szCs w:val="24"/>
        </w:rPr>
        <w:t>descriptivo</w:t>
      </w:r>
      <w:r w:rsidR="00D05520">
        <w:rPr>
          <w:rFonts w:cstheme="minorHAnsi"/>
          <w:noProof/>
          <w:sz w:val="24"/>
          <w:szCs w:val="24"/>
        </w:rPr>
        <w:t xml:space="preserve"> (Muño</w:t>
      </w:r>
      <w:r w:rsidR="005D132D">
        <w:rPr>
          <w:rFonts w:cstheme="minorHAnsi"/>
          <w:noProof/>
          <w:sz w:val="24"/>
          <w:szCs w:val="24"/>
        </w:rPr>
        <w:t>z</w:t>
      </w:r>
      <w:r w:rsidR="00A90C1D" w:rsidRPr="00956007">
        <w:rPr>
          <w:rFonts w:cstheme="minorHAnsi"/>
          <w:noProof/>
          <w:sz w:val="24"/>
          <w:szCs w:val="24"/>
        </w:rPr>
        <w:t>, 2015)</w:t>
      </w:r>
      <w:r w:rsidR="000413E0" w:rsidRPr="00956007">
        <w:rPr>
          <w:rFonts w:cstheme="minorHAnsi"/>
          <w:noProof/>
          <w:sz w:val="24"/>
          <w:szCs w:val="24"/>
        </w:rPr>
        <w:t xml:space="preserve">, transversal, </w:t>
      </w:r>
      <w:r w:rsidRPr="00956007">
        <w:rPr>
          <w:rFonts w:cstheme="minorHAnsi"/>
          <w:noProof/>
          <w:sz w:val="24"/>
          <w:szCs w:val="24"/>
        </w:rPr>
        <w:t>que permite realizar</w:t>
      </w:r>
      <w:r w:rsidR="00055F41" w:rsidRPr="00956007">
        <w:rPr>
          <w:rFonts w:cstheme="minorHAnsi"/>
          <w:noProof/>
          <w:sz w:val="24"/>
          <w:szCs w:val="24"/>
        </w:rPr>
        <w:t xml:space="preserve"> un mapeo de las categorías de la </w:t>
      </w:r>
      <w:r w:rsidR="0081080C">
        <w:rPr>
          <w:rFonts w:cstheme="minorHAnsi"/>
          <w:noProof/>
          <w:sz w:val="24"/>
          <w:szCs w:val="24"/>
        </w:rPr>
        <w:t>EE</w:t>
      </w:r>
      <w:r w:rsidR="00055F41" w:rsidRPr="00956007">
        <w:rPr>
          <w:rFonts w:cstheme="minorHAnsi"/>
          <w:noProof/>
          <w:sz w:val="24"/>
          <w:szCs w:val="24"/>
        </w:rPr>
        <w:t xml:space="preserve"> </w:t>
      </w:r>
      <w:r w:rsidR="00204580" w:rsidRPr="00956007">
        <w:rPr>
          <w:rFonts w:cstheme="minorHAnsi"/>
          <w:noProof/>
          <w:sz w:val="24"/>
          <w:szCs w:val="24"/>
        </w:rPr>
        <w:t xml:space="preserve">con el fin de determinar la estructura y </w:t>
      </w:r>
      <w:r w:rsidR="00204580" w:rsidRPr="00956007">
        <w:rPr>
          <w:rFonts w:cstheme="minorHAnsi"/>
          <w:noProof/>
          <w:sz w:val="24"/>
          <w:szCs w:val="24"/>
        </w:rPr>
        <w:lastRenderedPageBreak/>
        <w:t xml:space="preserve">convergencia temática </w:t>
      </w:r>
      <w:r w:rsidR="00A32539">
        <w:rPr>
          <w:rFonts w:cstheme="minorHAnsi"/>
          <w:noProof/>
          <w:sz w:val="24"/>
          <w:szCs w:val="24"/>
        </w:rPr>
        <w:t xml:space="preserve">de estas comunidades </w:t>
      </w:r>
      <w:r w:rsidR="00D05520">
        <w:rPr>
          <w:rFonts w:cstheme="minorHAnsi"/>
          <w:noProof/>
          <w:sz w:val="24"/>
          <w:szCs w:val="24"/>
        </w:rPr>
        <w:t>(Díaz, Moya &amp; Carrillo</w:t>
      </w:r>
      <w:r w:rsidR="00204580" w:rsidRPr="00956007">
        <w:rPr>
          <w:rFonts w:cstheme="minorHAnsi"/>
          <w:noProof/>
          <w:sz w:val="24"/>
          <w:szCs w:val="24"/>
        </w:rPr>
        <w:t xml:space="preserve"> 2017)</w:t>
      </w:r>
      <w:r w:rsidR="00280120" w:rsidRPr="00956007">
        <w:rPr>
          <w:rFonts w:cstheme="minorHAnsi"/>
          <w:noProof/>
          <w:sz w:val="24"/>
          <w:szCs w:val="24"/>
        </w:rPr>
        <w:t xml:space="preserve">. Se seleccionaron </w:t>
      </w:r>
      <w:r w:rsidR="00055F41" w:rsidRPr="00956007">
        <w:rPr>
          <w:rFonts w:cstheme="minorHAnsi"/>
          <w:noProof/>
          <w:sz w:val="24"/>
          <w:szCs w:val="24"/>
        </w:rPr>
        <w:t xml:space="preserve">los títulos </w:t>
      </w:r>
      <w:r w:rsidR="00962568" w:rsidRPr="00956007">
        <w:rPr>
          <w:rFonts w:cstheme="minorHAnsi"/>
          <w:noProof/>
          <w:sz w:val="24"/>
          <w:szCs w:val="24"/>
        </w:rPr>
        <w:t xml:space="preserve">de 1831 </w:t>
      </w:r>
      <w:r w:rsidR="00055F41" w:rsidRPr="00956007">
        <w:rPr>
          <w:rFonts w:cstheme="minorHAnsi"/>
          <w:noProof/>
          <w:sz w:val="24"/>
          <w:szCs w:val="24"/>
        </w:rPr>
        <w:t xml:space="preserve">artículos </w:t>
      </w:r>
      <w:r w:rsidR="00962568" w:rsidRPr="00956007">
        <w:rPr>
          <w:rFonts w:cstheme="minorHAnsi"/>
          <w:noProof/>
          <w:sz w:val="24"/>
          <w:szCs w:val="24"/>
        </w:rPr>
        <w:t>e</w:t>
      </w:r>
      <w:r w:rsidR="006A74B7" w:rsidRPr="00956007">
        <w:rPr>
          <w:rFonts w:cstheme="minorHAnsi"/>
          <w:noProof/>
          <w:sz w:val="24"/>
          <w:szCs w:val="24"/>
        </w:rPr>
        <w:t>n</w:t>
      </w:r>
      <w:r w:rsidR="00962568" w:rsidRPr="00956007">
        <w:rPr>
          <w:rFonts w:cstheme="minorHAnsi"/>
          <w:noProof/>
          <w:sz w:val="24"/>
          <w:szCs w:val="24"/>
        </w:rPr>
        <w:t xml:space="preserve"> el intervalo comprendido entre el año</w:t>
      </w:r>
      <w:r w:rsidR="00055F41" w:rsidRPr="00956007">
        <w:rPr>
          <w:rFonts w:cstheme="minorHAnsi"/>
          <w:noProof/>
          <w:sz w:val="24"/>
          <w:szCs w:val="24"/>
        </w:rPr>
        <w:t xml:space="preserve"> 2016 </w:t>
      </w:r>
      <w:r w:rsidR="00962568" w:rsidRPr="00956007">
        <w:rPr>
          <w:rFonts w:cstheme="minorHAnsi"/>
          <w:noProof/>
          <w:sz w:val="24"/>
          <w:szCs w:val="24"/>
        </w:rPr>
        <w:t>y</w:t>
      </w:r>
      <w:r w:rsidR="00055F41" w:rsidRPr="00956007">
        <w:rPr>
          <w:rFonts w:cstheme="minorHAnsi"/>
          <w:noProof/>
          <w:sz w:val="24"/>
          <w:szCs w:val="24"/>
        </w:rPr>
        <w:t xml:space="preserve"> </w:t>
      </w:r>
      <w:r w:rsidR="00396AE3" w:rsidRPr="00956007">
        <w:rPr>
          <w:rFonts w:cstheme="minorHAnsi"/>
          <w:noProof/>
          <w:sz w:val="24"/>
          <w:szCs w:val="24"/>
        </w:rPr>
        <w:t xml:space="preserve">septiembre de 2021 </w:t>
      </w:r>
      <w:r w:rsidR="00A15A9D" w:rsidRPr="00956007">
        <w:rPr>
          <w:rFonts w:cstheme="minorHAnsi"/>
          <w:noProof/>
          <w:sz w:val="24"/>
          <w:szCs w:val="24"/>
        </w:rPr>
        <w:t xml:space="preserve">de </w:t>
      </w:r>
      <w:r w:rsidR="00B12698" w:rsidRPr="00956007">
        <w:rPr>
          <w:rFonts w:cstheme="minorHAnsi"/>
          <w:noProof/>
          <w:sz w:val="24"/>
          <w:szCs w:val="24"/>
        </w:rPr>
        <w:t>ocho</w:t>
      </w:r>
      <w:r w:rsidR="00A15A9D" w:rsidRPr="00956007">
        <w:rPr>
          <w:rFonts w:cstheme="minorHAnsi"/>
          <w:noProof/>
          <w:sz w:val="24"/>
          <w:szCs w:val="24"/>
        </w:rPr>
        <w:t xml:space="preserve"> revistas científicas especializadas en </w:t>
      </w:r>
      <w:r w:rsidR="0081080C">
        <w:rPr>
          <w:rFonts w:cstheme="minorHAnsi"/>
          <w:noProof/>
          <w:sz w:val="24"/>
          <w:szCs w:val="24"/>
        </w:rPr>
        <w:t>EE</w:t>
      </w:r>
      <w:r w:rsidR="00A15A9D" w:rsidRPr="00956007">
        <w:rPr>
          <w:rFonts w:cstheme="minorHAnsi"/>
          <w:noProof/>
          <w:sz w:val="24"/>
          <w:szCs w:val="24"/>
        </w:rPr>
        <w:t xml:space="preserve">. </w:t>
      </w:r>
      <w:r w:rsidR="00F81943" w:rsidRPr="00956007">
        <w:rPr>
          <w:rFonts w:cstheme="minorHAnsi"/>
          <w:noProof/>
          <w:sz w:val="24"/>
          <w:szCs w:val="24"/>
        </w:rPr>
        <w:t>Como muest</w:t>
      </w:r>
      <w:r w:rsidR="00BC0AA6">
        <w:rPr>
          <w:rFonts w:cstheme="minorHAnsi"/>
          <w:noProof/>
          <w:sz w:val="24"/>
          <w:szCs w:val="24"/>
        </w:rPr>
        <w:t>r</w:t>
      </w:r>
      <w:r w:rsidR="00F81943" w:rsidRPr="00956007">
        <w:rPr>
          <w:rFonts w:cstheme="minorHAnsi"/>
          <w:noProof/>
          <w:sz w:val="24"/>
          <w:szCs w:val="24"/>
        </w:rPr>
        <w:t xml:space="preserve">a la tabla # 1. </w:t>
      </w:r>
    </w:p>
    <w:p w14:paraId="50C3AEAD" w14:textId="77777777" w:rsidR="00903ED5" w:rsidRPr="00956007" w:rsidRDefault="00903ED5" w:rsidP="00903ED5">
      <w:pPr>
        <w:spacing w:after="0" w:line="240" w:lineRule="auto"/>
        <w:jc w:val="both"/>
        <w:rPr>
          <w:rFonts w:cstheme="minorHAnsi"/>
          <w:noProof/>
          <w:sz w:val="24"/>
          <w:szCs w:val="24"/>
        </w:rPr>
      </w:pPr>
    </w:p>
    <w:tbl>
      <w:tblPr>
        <w:tblW w:w="8364" w:type="dxa"/>
        <w:jc w:val="center"/>
        <w:tblCellMar>
          <w:left w:w="70" w:type="dxa"/>
          <w:right w:w="70" w:type="dxa"/>
        </w:tblCellMar>
        <w:tblLook w:val="04A0" w:firstRow="1" w:lastRow="0" w:firstColumn="1" w:lastColumn="0" w:noHBand="0" w:noVBand="1"/>
      </w:tblPr>
      <w:tblGrid>
        <w:gridCol w:w="2977"/>
        <w:gridCol w:w="4253"/>
        <w:gridCol w:w="1134"/>
      </w:tblGrid>
      <w:tr w:rsidR="00903ED5" w:rsidRPr="000E2D07" w14:paraId="0C0D0DF9" w14:textId="77777777" w:rsidTr="00335059">
        <w:trPr>
          <w:trHeight w:val="255"/>
          <w:jc w:val="center"/>
        </w:trPr>
        <w:tc>
          <w:tcPr>
            <w:tcW w:w="2977" w:type="dxa"/>
            <w:tcBorders>
              <w:top w:val="single" w:sz="4" w:space="0" w:color="auto"/>
              <w:left w:val="nil"/>
              <w:bottom w:val="single" w:sz="4" w:space="0" w:color="auto"/>
              <w:right w:val="nil"/>
            </w:tcBorders>
            <w:shd w:val="clear" w:color="auto" w:fill="auto"/>
            <w:noWrap/>
            <w:vAlign w:val="bottom"/>
            <w:hideMark/>
          </w:tcPr>
          <w:p w14:paraId="62360EB2" w14:textId="77777777" w:rsidR="00903ED5" w:rsidRPr="000E2D07" w:rsidRDefault="00903ED5" w:rsidP="00903ED5">
            <w:pPr>
              <w:spacing w:after="0" w:line="240" w:lineRule="auto"/>
              <w:jc w:val="center"/>
              <w:rPr>
                <w:rFonts w:eastAsia="Times New Roman" w:cstheme="minorHAnsi"/>
                <w:bCs/>
                <w:sz w:val="20"/>
                <w:szCs w:val="24"/>
                <w:lang w:eastAsia="es-ES"/>
              </w:rPr>
            </w:pPr>
            <w:r w:rsidRPr="000E2D07">
              <w:rPr>
                <w:rFonts w:eastAsia="Times New Roman" w:cstheme="minorHAnsi"/>
                <w:bCs/>
                <w:sz w:val="20"/>
                <w:szCs w:val="24"/>
                <w:lang w:eastAsia="es-ES"/>
              </w:rPr>
              <w:t>Revistas</w:t>
            </w:r>
          </w:p>
        </w:tc>
        <w:tc>
          <w:tcPr>
            <w:tcW w:w="4253" w:type="dxa"/>
            <w:tcBorders>
              <w:top w:val="single" w:sz="4" w:space="0" w:color="auto"/>
              <w:left w:val="nil"/>
              <w:bottom w:val="single" w:sz="4" w:space="0" w:color="auto"/>
              <w:right w:val="nil"/>
            </w:tcBorders>
            <w:shd w:val="clear" w:color="auto" w:fill="auto"/>
            <w:noWrap/>
            <w:vAlign w:val="bottom"/>
            <w:hideMark/>
          </w:tcPr>
          <w:p w14:paraId="4EDEBA19" w14:textId="77777777" w:rsidR="00903ED5" w:rsidRPr="000E2D07" w:rsidRDefault="00903ED5" w:rsidP="00903ED5">
            <w:pPr>
              <w:spacing w:after="0" w:line="240" w:lineRule="auto"/>
              <w:jc w:val="center"/>
              <w:rPr>
                <w:rFonts w:eastAsia="Times New Roman" w:cstheme="minorHAnsi"/>
                <w:bCs/>
                <w:sz w:val="20"/>
                <w:szCs w:val="24"/>
                <w:lang w:eastAsia="es-ES"/>
              </w:rPr>
            </w:pPr>
            <w:r w:rsidRPr="000E2D07">
              <w:rPr>
                <w:rFonts w:eastAsia="Times New Roman" w:cstheme="minorHAnsi"/>
                <w:bCs/>
                <w:sz w:val="20"/>
                <w:szCs w:val="24"/>
                <w:lang w:eastAsia="es-ES"/>
              </w:rPr>
              <w:t>Publicada</w:t>
            </w:r>
          </w:p>
        </w:tc>
        <w:tc>
          <w:tcPr>
            <w:tcW w:w="1134" w:type="dxa"/>
            <w:tcBorders>
              <w:top w:val="single" w:sz="4" w:space="0" w:color="auto"/>
              <w:left w:val="nil"/>
              <w:bottom w:val="single" w:sz="4" w:space="0" w:color="auto"/>
              <w:right w:val="nil"/>
            </w:tcBorders>
            <w:shd w:val="clear" w:color="auto" w:fill="auto"/>
            <w:noWrap/>
            <w:vAlign w:val="bottom"/>
            <w:hideMark/>
          </w:tcPr>
          <w:p w14:paraId="51963F73" w14:textId="0B1A3EAB" w:rsidR="00903ED5" w:rsidRPr="000E2D07" w:rsidRDefault="00903ED5" w:rsidP="00903ED5">
            <w:pPr>
              <w:spacing w:after="0" w:line="240" w:lineRule="auto"/>
              <w:jc w:val="center"/>
              <w:rPr>
                <w:rFonts w:eastAsia="Times New Roman" w:cstheme="minorHAnsi"/>
                <w:bCs/>
                <w:sz w:val="20"/>
                <w:szCs w:val="24"/>
                <w:lang w:eastAsia="es-ES"/>
              </w:rPr>
            </w:pPr>
            <w:r w:rsidRPr="000E2D07">
              <w:rPr>
                <w:rFonts w:eastAsia="Times New Roman" w:cstheme="minorHAnsi"/>
                <w:bCs/>
                <w:sz w:val="20"/>
                <w:szCs w:val="24"/>
                <w:lang w:eastAsia="es-ES"/>
              </w:rPr>
              <w:t xml:space="preserve">Artículos </w:t>
            </w:r>
          </w:p>
        </w:tc>
      </w:tr>
      <w:tr w:rsidR="00903ED5" w:rsidRPr="000E2D07" w14:paraId="42C85D98" w14:textId="77777777" w:rsidTr="00335059">
        <w:trPr>
          <w:trHeight w:val="255"/>
          <w:jc w:val="center"/>
        </w:trPr>
        <w:tc>
          <w:tcPr>
            <w:tcW w:w="2977" w:type="dxa"/>
            <w:tcBorders>
              <w:top w:val="nil"/>
              <w:left w:val="nil"/>
              <w:bottom w:val="nil"/>
              <w:right w:val="nil"/>
            </w:tcBorders>
            <w:shd w:val="clear" w:color="auto" w:fill="auto"/>
            <w:noWrap/>
            <w:vAlign w:val="bottom"/>
            <w:hideMark/>
          </w:tcPr>
          <w:p w14:paraId="6BDDD236" w14:textId="2F188C0E" w:rsidR="00903ED5" w:rsidRPr="000E2D07" w:rsidRDefault="00903ED5" w:rsidP="00D30A14">
            <w:pPr>
              <w:spacing w:after="0" w:line="240" w:lineRule="auto"/>
              <w:rPr>
                <w:rFonts w:eastAsia="Times New Roman" w:cstheme="minorHAnsi"/>
                <w:sz w:val="20"/>
                <w:szCs w:val="24"/>
                <w:lang w:eastAsia="es-ES"/>
              </w:rPr>
            </w:pPr>
            <w:r w:rsidRPr="000E2D07">
              <w:rPr>
                <w:rFonts w:eastAsia="Times New Roman" w:cstheme="minorHAnsi"/>
                <w:sz w:val="20"/>
                <w:szCs w:val="24"/>
                <w:lang w:eastAsia="es-ES"/>
              </w:rPr>
              <w:t xml:space="preserve">Revista </w:t>
            </w:r>
            <w:r w:rsidR="0081080C">
              <w:rPr>
                <w:rFonts w:eastAsia="Times New Roman" w:cstheme="minorHAnsi"/>
                <w:sz w:val="20"/>
                <w:szCs w:val="24"/>
                <w:lang w:eastAsia="es-ES"/>
              </w:rPr>
              <w:t>E</w:t>
            </w:r>
            <w:r w:rsidR="00D30A14">
              <w:rPr>
                <w:rFonts w:eastAsia="Times New Roman" w:cstheme="minorHAnsi"/>
                <w:sz w:val="20"/>
                <w:szCs w:val="24"/>
                <w:lang w:eastAsia="es-ES"/>
              </w:rPr>
              <w:t>ducación en Ingeniería</w:t>
            </w:r>
          </w:p>
        </w:tc>
        <w:tc>
          <w:tcPr>
            <w:tcW w:w="4253" w:type="dxa"/>
            <w:tcBorders>
              <w:top w:val="nil"/>
              <w:left w:val="nil"/>
              <w:bottom w:val="nil"/>
              <w:right w:val="nil"/>
            </w:tcBorders>
            <w:shd w:val="clear" w:color="auto" w:fill="auto"/>
            <w:noWrap/>
            <w:vAlign w:val="bottom"/>
            <w:hideMark/>
          </w:tcPr>
          <w:p w14:paraId="37D649C5" w14:textId="77777777" w:rsidR="00903ED5" w:rsidRPr="000E2D07" w:rsidRDefault="00903ED5" w:rsidP="00903ED5">
            <w:pPr>
              <w:spacing w:after="0" w:line="240" w:lineRule="auto"/>
              <w:rPr>
                <w:rFonts w:eastAsia="Times New Roman" w:cstheme="minorHAnsi"/>
                <w:sz w:val="20"/>
                <w:szCs w:val="24"/>
                <w:lang w:eastAsia="es-ES"/>
              </w:rPr>
            </w:pPr>
            <w:r w:rsidRPr="000E2D07">
              <w:rPr>
                <w:rFonts w:eastAsia="Times New Roman" w:cstheme="minorHAnsi"/>
                <w:sz w:val="20"/>
                <w:szCs w:val="24"/>
                <w:lang w:eastAsia="es-ES"/>
              </w:rPr>
              <w:t>Asociación Colombiana de Facultades de Ingeniería (ACOFI)</w:t>
            </w:r>
          </w:p>
        </w:tc>
        <w:tc>
          <w:tcPr>
            <w:tcW w:w="1134" w:type="dxa"/>
            <w:tcBorders>
              <w:top w:val="nil"/>
              <w:left w:val="nil"/>
              <w:bottom w:val="nil"/>
              <w:right w:val="nil"/>
            </w:tcBorders>
            <w:shd w:val="clear" w:color="auto" w:fill="auto"/>
            <w:noWrap/>
            <w:vAlign w:val="bottom"/>
            <w:hideMark/>
          </w:tcPr>
          <w:p w14:paraId="32D8D0A0" w14:textId="77777777" w:rsidR="00903ED5" w:rsidRPr="000E2D07" w:rsidRDefault="00903ED5" w:rsidP="00903ED5">
            <w:pPr>
              <w:spacing w:after="0" w:line="240" w:lineRule="auto"/>
              <w:jc w:val="center"/>
              <w:rPr>
                <w:rFonts w:eastAsia="Times New Roman" w:cstheme="minorHAnsi"/>
                <w:sz w:val="20"/>
                <w:szCs w:val="24"/>
                <w:lang w:eastAsia="es-ES"/>
              </w:rPr>
            </w:pPr>
            <w:r w:rsidRPr="000E2D07">
              <w:rPr>
                <w:rFonts w:eastAsia="Times New Roman" w:cstheme="minorHAnsi"/>
                <w:sz w:val="20"/>
                <w:szCs w:val="24"/>
                <w:lang w:eastAsia="es-ES"/>
              </w:rPr>
              <w:t>600</w:t>
            </w:r>
          </w:p>
        </w:tc>
      </w:tr>
      <w:tr w:rsidR="00903ED5" w:rsidRPr="000E2D07" w14:paraId="351EC9FD" w14:textId="77777777" w:rsidTr="00335059">
        <w:trPr>
          <w:trHeight w:val="255"/>
          <w:jc w:val="center"/>
        </w:trPr>
        <w:tc>
          <w:tcPr>
            <w:tcW w:w="2977" w:type="dxa"/>
            <w:tcBorders>
              <w:top w:val="nil"/>
              <w:left w:val="nil"/>
              <w:bottom w:val="nil"/>
              <w:right w:val="nil"/>
            </w:tcBorders>
            <w:shd w:val="clear" w:color="auto" w:fill="auto"/>
            <w:noWrap/>
            <w:vAlign w:val="bottom"/>
            <w:hideMark/>
          </w:tcPr>
          <w:p w14:paraId="1BBB7766" w14:textId="77777777" w:rsidR="00903ED5" w:rsidRPr="000E2D07" w:rsidRDefault="00903ED5" w:rsidP="00903ED5">
            <w:pPr>
              <w:spacing w:after="0" w:line="240" w:lineRule="auto"/>
              <w:rPr>
                <w:rFonts w:eastAsia="Times New Roman" w:cstheme="minorHAnsi"/>
                <w:sz w:val="20"/>
                <w:szCs w:val="24"/>
                <w:lang w:eastAsia="es-ES"/>
              </w:rPr>
            </w:pPr>
            <w:r w:rsidRPr="000E2D07">
              <w:rPr>
                <w:rFonts w:eastAsia="Times New Roman" w:cstheme="minorHAnsi"/>
                <w:sz w:val="20"/>
                <w:szCs w:val="24"/>
                <w:lang w:eastAsia="es-ES"/>
              </w:rPr>
              <w:t>Revista Electrónica ANFEI Digital</w:t>
            </w:r>
          </w:p>
        </w:tc>
        <w:tc>
          <w:tcPr>
            <w:tcW w:w="4253" w:type="dxa"/>
            <w:tcBorders>
              <w:top w:val="nil"/>
              <w:left w:val="nil"/>
              <w:bottom w:val="nil"/>
              <w:right w:val="nil"/>
            </w:tcBorders>
            <w:shd w:val="clear" w:color="auto" w:fill="auto"/>
            <w:noWrap/>
            <w:vAlign w:val="bottom"/>
            <w:hideMark/>
          </w:tcPr>
          <w:p w14:paraId="01E03C1B" w14:textId="77777777" w:rsidR="00903ED5" w:rsidRPr="000E2D07" w:rsidRDefault="00903ED5" w:rsidP="00903ED5">
            <w:pPr>
              <w:spacing w:after="0" w:line="240" w:lineRule="auto"/>
              <w:rPr>
                <w:rFonts w:eastAsia="Times New Roman" w:cstheme="minorHAnsi"/>
                <w:sz w:val="20"/>
                <w:szCs w:val="24"/>
                <w:lang w:eastAsia="es-ES"/>
              </w:rPr>
            </w:pPr>
            <w:r w:rsidRPr="000E2D07">
              <w:rPr>
                <w:rFonts w:eastAsia="Times New Roman" w:cstheme="minorHAnsi"/>
                <w:sz w:val="20"/>
                <w:szCs w:val="24"/>
                <w:lang w:eastAsia="es-ES"/>
              </w:rPr>
              <w:t>Asociación Nacional de Facultades y Escuelas de Ingeniería (ANFEI)</w:t>
            </w:r>
          </w:p>
        </w:tc>
        <w:tc>
          <w:tcPr>
            <w:tcW w:w="1134" w:type="dxa"/>
            <w:tcBorders>
              <w:top w:val="nil"/>
              <w:left w:val="nil"/>
              <w:bottom w:val="nil"/>
              <w:right w:val="nil"/>
            </w:tcBorders>
            <w:shd w:val="clear" w:color="auto" w:fill="auto"/>
            <w:noWrap/>
            <w:vAlign w:val="bottom"/>
            <w:hideMark/>
          </w:tcPr>
          <w:p w14:paraId="126E8631" w14:textId="77777777" w:rsidR="00903ED5" w:rsidRPr="000E2D07" w:rsidRDefault="00903ED5" w:rsidP="00903ED5">
            <w:pPr>
              <w:spacing w:after="0" w:line="240" w:lineRule="auto"/>
              <w:jc w:val="center"/>
              <w:rPr>
                <w:rFonts w:eastAsia="Times New Roman" w:cstheme="minorHAnsi"/>
                <w:sz w:val="20"/>
                <w:szCs w:val="24"/>
                <w:lang w:eastAsia="es-ES"/>
              </w:rPr>
            </w:pPr>
            <w:r w:rsidRPr="000E2D07">
              <w:rPr>
                <w:rFonts w:eastAsia="Times New Roman" w:cstheme="minorHAnsi"/>
                <w:sz w:val="20"/>
                <w:szCs w:val="24"/>
                <w:lang w:eastAsia="es-ES"/>
              </w:rPr>
              <w:t>170</w:t>
            </w:r>
          </w:p>
        </w:tc>
      </w:tr>
      <w:tr w:rsidR="00903ED5" w:rsidRPr="000E2D07" w14:paraId="09F7CC26" w14:textId="77777777" w:rsidTr="00335059">
        <w:trPr>
          <w:trHeight w:val="255"/>
          <w:jc w:val="center"/>
        </w:trPr>
        <w:tc>
          <w:tcPr>
            <w:tcW w:w="2977" w:type="dxa"/>
            <w:tcBorders>
              <w:top w:val="nil"/>
              <w:left w:val="nil"/>
              <w:bottom w:val="nil"/>
              <w:right w:val="nil"/>
            </w:tcBorders>
            <w:shd w:val="clear" w:color="auto" w:fill="auto"/>
            <w:noWrap/>
            <w:vAlign w:val="bottom"/>
            <w:hideMark/>
          </w:tcPr>
          <w:p w14:paraId="7937C4A0" w14:textId="0BB1FB0C" w:rsidR="00903ED5" w:rsidRPr="00B3068B" w:rsidRDefault="00903ED5" w:rsidP="00903ED5">
            <w:pPr>
              <w:spacing w:after="0" w:line="240" w:lineRule="auto"/>
              <w:rPr>
                <w:rFonts w:eastAsia="Times New Roman" w:cstheme="minorHAnsi"/>
                <w:sz w:val="20"/>
                <w:szCs w:val="24"/>
                <w:lang w:val="pt-BR" w:eastAsia="es-ES"/>
              </w:rPr>
            </w:pPr>
            <w:r w:rsidRPr="00B3068B">
              <w:rPr>
                <w:rFonts w:eastAsia="Times New Roman" w:cstheme="minorHAnsi"/>
                <w:sz w:val="20"/>
                <w:szCs w:val="24"/>
                <w:lang w:val="pt-BR" w:eastAsia="es-ES"/>
              </w:rPr>
              <w:t>Revista de Ensino de Engenharia</w:t>
            </w:r>
            <w:r w:rsidR="00186CDA" w:rsidRPr="00B3068B">
              <w:rPr>
                <w:rFonts w:eastAsia="Times New Roman" w:cstheme="minorHAnsi"/>
                <w:sz w:val="20"/>
                <w:szCs w:val="24"/>
                <w:lang w:val="pt-BR" w:eastAsia="es-ES"/>
              </w:rPr>
              <w:t xml:space="preserve"> (REI)</w:t>
            </w:r>
            <w:r w:rsidRPr="00B3068B">
              <w:rPr>
                <w:rFonts w:eastAsia="Times New Roman" w:cstheme="minorHAnsi"/>
                <w:sz w:val="20"/>
                <w:szCs w:val="24"/>
                <w:lang w:val="pt-BR" w:eastAsia="es-ES"/>
              </w:rPr>
              <w:t xml:space="preserve"> </w:t>
            </w:r>
          </w:p>
        </w:tc>
        <w:tc>
          <w:tcPr>
            <w:tcW w:w="4253" w:type="dxa"/>
            <w:tcBorders>
              <w:top w:val="nil"/>
              <w:left w:val="nil"/>
              <w:bottom w:val="nil"/>
              <w:right w:val="nil"/>
            </w:tcBorders>
            <w:shd w:val="clear" w:color="auto" w:fill="auto"/>
            <w:noWrap/>
            <w:vAlign w:val="bottom"/>
            <w:hideMark/>
          </w:tcPr>
          <w:p w14:paraId="6B7F2688" w14:textId="20E23949" w:rsidR="00903ED5" w:rsidRPr="000E2D07" w:rsidRDefault="00903ED5" w:rsidP="00903ED5">
            <w:pPr>
              <w:spacing w:after="0" w:line="240" w:lineRule="auto"/>
              <w:rPr>
                <w:rFonts w:eastAsia="Times New Roman" w:cstheme="minorHAnsi"/>
                <w:sz w:val="20"/>
                <w:szCs w:val="24"/>
                <w:lang w:eastAsia="es-ES"/>
              </w:rPr>
            </w:pPr>
            <w:r w:rsidRPr="000E2D07">
              <w:rPr>
                <w:rFonts w:eastAsia="Times New Roman" w:cstheme="minorHAnsi"/>
                <w:sz w:val="20"/>
                <w:szCs w:val="24"/>
                <w:lang w:eastAsia="es-ES"/>
              </w:rPr>
              <w:t xml:space="preserve">Asociación Brasileña de </w:t>
            </w:r>
            <w:r w:rsidR="0081080C">
              <w:rPr>
                <w:rFonts w:eastAsia="Times New Roman" w:cstheme="minorHAnsi"/>
                <w:sz w:val="20"/>
                <w:szCs w:val="24"/>
                <w:lang w:eastAsia="es-ES"/>
              </w:rPr>
              <w:t>EE</w:t>
            </w:r>
            <w:r w:rsidRPr="000E2D07">
              <w:rPr>
                <w:rFonts w:eastAsia="Times New Roman" w:cstheme="minorHAnsi"/>
                <w:sz w:val="20"/>
                <w:szCs w:val="24"/>
                <w:lang w:eastAsia="es-ES"/>
              </w:rPr>
              <w:t xml:space="preserve"> (ABENGE) </w:t>
            </w:r>
          </w:p>
        </w:tc>
        <w:tc>
          <w:tcPr>
            <w:tcW w:w="1134" w:type="dxa"/>
            <w:tcBorders>
              <w:top w:val="nil"/>
              <w:left w:val="nil"/>
              <w:bottom w:val="nil"/>
              <w:right w:val="nil"/>
            </w:tcBorders>
            <w:shd w:val="clear" w:color="auto" w:fill="auto"/>
            <w:noWrap/>
            <w:vAlign w:val="bottom"/>
            <w:hideMark/>
          </w:tcPr>
          <w:p w14:paraId="07F62BB7" w14:textId="77777777" w:rsidR="00903ED5" w:rsidRPr="000E2D07" w:rsidRDefault="00903ED5" w:rsidP="00903ED5">
            <w:pPr>
              <w:spacing w:after="0" w:line="240" w:lineRule="auto"/>
              <w:jc w:val="center"/>
              <w:rPr>
                <w:rFonts w:eastAsia="Times New Roman" w:cstheme="minorHAnsi"/>
                <w:sz w:val="20"/>
                <w:szCs w:val="24"/>
                <w:lang w:eastAsia="es-ES"/>
              </w:rPr>
            </w:pPr>
            <w:r w:rsidRPr="000E2D07">
              <w:rPr>
                <w:rFonts w:eastAsia="Times New Roman" w:cstheme="minorHAnsi"/>
                <w:sz w:val="20"/>
                <w:szCs w:val="24"/>
                <w:lang w:eastAsia="es-ES"/>
              </w:rPr>
              <w:t>190</w:t>
            </w:r>
          </w:p>
        </w:tc>
      </w:tr>
      <w:tr w:rsidR="00903ED5" w:rsidRPr="000E2D07" w14:paraId="511FEFAA" w14:textId="77777777" w:rsidTr="00335059">
        <w:trPr>
          <w:trHeight w:val="255"/>
          <w:jc w:val="center"/>
        </w:trPr>
        <w:tc>
          <w:tcPr>
            <w:tcW w:w="2977" w:type="dxa"/>
            <w:tcBorders>
              <w:top w:val="nil"/>
              <w:left w:val="nil"/>
              <w:bottom w:val="nil"/>
              <w:right w:val="nil"/>
            </w:tcBorders>
            <w:shd w:val="clear" w:color="auto" w:fill="auto"/>
            <w:noWrap/>
            <w:vAlign w:val="bottom"/>
            <w:hideMark/>
          </w:tcPr>
          <w:p w14:paraId="025F77EB" w14:textId="77777777" w:rsidR="00903ED5" w:rsidRPr="000E2D07" w:rsidRDefault="00903ED5" w:rsidP="00903ED5">
            <w:pPr>
              <w:spacing w:after="0" w:line="240" w:lineRule="auto"/>
              <w:rPr>
                <w:rFonts w:eastAsia="Times New Roman" w:cstheme="minorHAnsi"/>
                <w:sz w:val="20"/>
                <w:szCs w:val="24"/>
                <w:lang w:val="en-US" w:eastAsia="es-ES"/>
              </w:rPr>
            </w:pPr>
            <w:r w:rsidRPr="000E2D07">
              <w:rPr>
                <w:rFonts w:eastAsia="Times New Roman" w:cstheme="minorHAnsi"/>
                <w:sz w:val="20"/>
                <w:szCs w:val="24"/>
                <w:lang w:val="en-US" w:eastAsia="es-ES"/>
              </w:rPr>
              <w:t>Australasian Journal of Engineering Education (AJEE)</w:t>
            </w:r>
          </w:p>
        </w:tc>
        <w:tc>
          <w:tcPr>
            <w:tcW w:w="4253" w:type="dxa"/>
            <w:tcBorders>
              <w:top w:val="nil"/>
              <w:left w:val="nil"/>
              <w:bottom w:val="nil"/>
              <w:right w:val="nil"/>
            </w:tcBorders>
            <w:shd w:val="clear" w:color="auto" w:fill="auto"/>
            <w:noWrap/>
            <w:vAlign w:val="bottom"/>
            <w:hideMark/>
          </w:tcPr>
          <w:p w14:paraId="238828FF" w14:textId="77777777" w:rsidR="00903ED5" w:rsidRPr="000E2D07" w:rsidRDefault="00903ED5" w:rsidP="00903ED5">
            <w:pPr>
              <w:spacing w:after="0" w:line="240" w:lineRule="auto"/>
              <w:rPr>
                <w:rFonts w:eastAsia="Times New Roman" w:cstheme="minorHAnsi"/>
                <w:sz w:val="20"/>
                <w:szCs w:val="24"/>
                <w:lang w:val="en-US" w:eastAsia="es-ES"/>
              </w:rPr>
            </w:pPr>
            <w:r w:rsidRPr="000E2D07">
              <w:rPr>
                <w:rFonts w:eastAsia="Times New Roman" w:cstheme="minorHAnsi"/>
                <w:sz w:val="20"/>
                <w:szCs w:val="24"/>
                <w:lang w:val="en-US" w:eastAsia="es-ES"/>
              </w:rPr>
              <w:t>Australasian Association for Engineering Education (AAEE),</w:t>
            </w:r>
          </w:p>
        </w:tc>
        <w:tc>
          <w:tcPr>
            <w:tcW w:w="1134" w:type="dxa"/>
            <w:tcBorders>
              <w:top w:val="nil"/>
              <w:left w:val="nil"/>
              <w:bottom w:val="nil"/>
              <w:right w:val="nil"/>
            </w:tcBorders>
            <w:shd w:val="clear" w:color="auto" w:fill="auto"/>
            <w:noWrap/>
            <w:vAlign w:val="bottom"/>
            <w:hideMark/>
          </w:tcPr>
          <w:p w14:paraId="39998213" w14:textId="77777777" w:rsidR="00903ED5" w:rsidRPr="000E2D07" w:rsidRDefault="00903ED5" w:rsidP="00903ED5">
            <w:pPr>
              <w:spacing w:after="0" w:line="240" w:lineRule="auto"/>
              <w:jc w:val="center"/>
              <w:rPr>
                <w:rFonts w:eastAsia="Times New Roman" w:cstheme="minorHAnsi"/>
                <w:sz w:val="20"/>
                <w:szCs w:val="24"/>
                <w:lang w:eastAsia="es-ES"/>
              </w:rPr>
            </w:pPr>
            <w:r w:rsidRPr="000E2D07">
              <w:rPr>
                <w:rFonts w:eastAsia="Times New Roman" w:cstheme="minorHAnsi"/>
                <w:sz w:val="20"/>
                <w:szCs w:val="24"/>
                <w:lang w:eastAsia="es-ES"/>
              </w:rPr>
              <w:t>75</w:t>
            </w:r>
          </w:p>
        </w:tc>
      </w:tr>
      <w:tr w:rsidR="00903ED5" w:rsidRPr="000E2D07" w14:paraId="7CE5D734" w14:textId="77777777" w:rsidTr="00335059">
        <w:trPr>
          <w:trHeight w:val="255"/>
          <w:jc w:val="center"/>
        </w:trPr>
        <w:tc>
          <w:tcPr>
            <w:tcW w:w="2977" w:type="dxa"/>
            <w:tcBorders>
              <w:top w:val="nil"/>
              <w:left w:val="nil"/>
              <w:bottom w:val="nil"/>
              <w:right w:val="nil"/>
            </w:tcBorders>
            <w:shd w:val="clear" w:color="auto" w:fill="auto"/>
            <w:noWrap/>
            <w:vAlign w:val="bottom"/>
            <w:hideMark/>
          </w:tcPr>
          <w:p w14:paraId="513A21A7" w14:textId="77777777" w:rsidR="00903ED5" w:rsidRPr="000E2D07" w:rsidRDefault="00903ED5" w:rsidP="00903ED5">
            <w:pPr>
              <w:spacing w:after="0" w:line="240" w:lineRule="auto"/>
              <w:rPr>
                <w:rFonts w:eastAsia="Times New Roman" w:cstheme="minorHAnsi"/>
                <w:sz w:val="20"/>
                <w:szCs w:val="24"/>
                <w:lang w:val="en-US" w:eastAsia="es-ES"/>
              </w:rPr>
            </w:pPr>
            <w:r w:rsidRPr="000E2D07">
              <w:rPr>
                <w:rFonts w:eastAsia="Times New Roman" w:cstheme="minorHAnsi"/>
                <w:sz w:val="20"/>
                <w:szCs w:val="24"/>
                <w:lang w:val="en-US" w:eastAsia="es-ES"/>
              </w:rPr>
              <w:t xml:space="preserve">European Journal of Engineering (EJEE) </w:t>
            </w:r>
          </w:p>
        </w:tc>
        <w:tc>
          <w:tcPr>
            <w:tcW w:w="4253" w:type="dxa"/>
            <w:tcBorders>
              <w:top w:val="nil"/>
              <w:left w:val="nil"/>
              <w:bottom w:val="nil"/>
              <w:right w:val="nil"/>
            </w:tcBorders>
            <w:shd w:val="clear" w:color="auto" w:fill="auto"/>
            <w:noWrap/>
            <w:vAlign w:val="bottom"/>
            <w:hideMark/>
          </w:tcPr>
          <w:p w14:paraId="3E29D5CA" w14:textId="77777777" w:rsidR="00903ED5" w:rsidRPr="000E2D07" w:rsidRDefault="00903ED5" w:rsidP="00903ED5">
            <w:pPr>
              <w:spacing w:after="0" w:line="240" w:lineRule="auto"/>
              <w:rPr>
                <w:rFonts w:eastAsia="Times New Roman" w:cstheme="minorHAnsi"/>
                <w:sz w:val="20"/>
                <w:szCs w:val="24"/>
                <w:lang w:val="en-US" w:eastAsia="es-ES"/>
              </w:rPr>
            </w:pPr>
            <w:r w:rsidRPr="000E2D07">
              <w:rPr>
                <w:rFonts w:eastAsia="Times New Roman" w:cstheme="minorHAnsi"/>
                <w:sz w:val="20"/>
                <w:szCs w:val="24"/>
                <w:lang w:val="en-US" w:eastAsia="es-ES"/>
              </w:rPr>
              <w:t>European Society for Engineering Education (SEFI)</w:t>
            </w:r>
          </w:p>
        </w:tc>
        <w:tc>
          <w:tcPr>
            <w:tcW w:w="1134" w:type="dxa"/>
            <w:tcBorders>
              <w:top w:val="nil"/>
              <w:left w:val="nil"/>
              <w:bottom w:val="nil"/>
              <w:right w:val="nil"/>
            </w:tcBorders>
            <w:shd w:val="clear" w:color="auto" w:fill="auto"/>
            <w:noWrap/>
            <w:vAlign w:val="bottom"/>
            <w:hideMark/>
          </w:tcPr>
          <w:p w14:paraId="65FB8338" w14:textId="77777777" w:rsidR="00903ED5" w:rsidRPr="000E2D07" w:rsidRDefault="00903ED5" w:rsidP="00903ED5">
            <w:pPr>
              <w:spacing w:after="0" w:line="240" w:lineRule="auto"/>
              <w:jc w:val="center"/>
              <w:rPr>
                <w:rFonts w:eastAsia="Times New Roman" w:cstheme="minorHAnsi"/>
                <w:sz w:val="20"/>
                <w:szCs w:val="24"/>
                <w:lang w:eastAsia="es-ES"/>
              </w:rPr>
            </w:pPr>
            <w:r w:rsidRPr="000E2D07">
              <w:rPr>
                <w:rFonts w:eastAsia="Times New Roman" w:cstheme="minorHAnsi"/>
                <w:sz w:val="20"/>
                <w:szCs w:val="24"/>
                <w:lang w:eastAsia="es-ES"/>
              </w:rPr>
              <w:t>140</w:t>
            </w:r>
          </w:p>
        </w:tc>
      </w:tr>
      <w:tr w:rsidR="00903ED5" w:rsidRPr="000E2D07" w14:paraId="575A63EC" w14:textId="77777777" w:rsidTr="00335059">
        <w:trPr>
          <w:trHeight w:val="255"/>
          <w:jc w:val="center"/>
        </w:trPr>
        <w:tc>
          <w:tcPr>
            <w:tcW w:w="2977" w:type="dxa"/>
            <w:tcBorders>
              <w:top w:val="nil"/>
              <w:left w:val="nil"/>
              <w:bottom w:val="nil"/>
              <w:right w:val="nil"/>
            </w:tcBorders>
            <w:shd w:val="clear" w:color="auto" w:fill="auto"/>
            <w:noWrap/>
            <w:vAlign w:val="bottom"/>
            <w:hideMark/>
          </w:tcPr>
          <w:p w14:paraId="187DDA42" w14:textId="77777777" w:rsidR="00903ED5" w:rsidRPr="000E2D07" w:rsidRDefault="00903ED5" w:rsidP="00903ED5">
            <w:pPr>
              <w:spacing w:after="0" w:line="240" w:lineRule="auto"/>
              <w:rPr>
                <w:rFonts w:eastAsia="Times New Roman" w:cstheme="minorHAnsi"/>
                <w:sz w:val="20"/>
                <w:szCs w:val="24"/>
                <w:lang w:val="en-US" w:eastAsia="es-ES"/>
              </w:rPr>
            </w:pPr>
            <w:r w:rsidRPr="000E2D07">
              <w:rPr>
                <w:rFonts w:eastAsia="Times New Roman" w:cstheme="minorHAnsi"/>
                <w:sz w:val="20"/>
                <w:szCs w:val="24"/>
                <w:lang w:val="en-US" w:eastAsia="es-ES"/>
              </w:rPr>
              <w:t>Journal of Engineering Education (JEE)</w:t>
            </w:r>
          </w:p>
        </w:tc>
        <w:tc>
          <w:tcPr>
            <w:tcW w:w="4253" w:type="dxa"/>
            <w:tcBorders>
              <w:top w:val="nil"/>
              <w:left w:val="nil"/>
              <w:bottom w:val="nil"/>
              <w:right w:val="nil"/>
            </w:tcBorders>
            <w:shd w:val="clear" w:color="auto" w:fill="auto"/>
            <w:noWrap/>
            <w:vAlign w:val="bottom"/>
            <w:hideMark/>
          </w:tcPr>
          <w:p w14:paraId="2F2ACCE6" w14:textId="77777777" w:rsidR="00903ED5" w:rsidRPr="000E2D07" w:rsidRDefault="00903ED5" w:rsidP="00903ED5">
            <w:pPr>
              <w:spacing w:after="0" w:line="240" w:lineRule="auto"/>
              <w:rPr>
                <w:rFonts w:eastAsia="Times New Roman" w:cstheme="minorHAnsi"/>
                <w:sz w:val="20"/>
                <w:szCs w:val="24"/>
                <w:lang w:val="en-US" w:eastAsia="es-ES"/>
              </w:rPr>
            </w:pPr>
            <w:r w:rsidRPr="000E2D07">
              <w:rPr>
                <w:rFonts w:eastAsia="Times New Roman" w:cstheme="minorHAnsi"/>
                <w:sz w:val="20"/>
                <w:szCs w:val="24"/>
                <w:lang w:val="en-US" w:eastAsia="es-ES"/>
              </w:rPr>
              <w:t>American Society of Engineering Education (ASEE)</w:t>
            </w:r>
          </w:p>
        </w:tc>
        <w:tc>
          <w:tcPr>
            <w:tcW w:w="1134" w:type="dxa"/>
            <w:tcBorders>
              <w:top w:val="nil"/>
              <w:left w:val="nil"/>
              <w:bottom w:val="nil"/>
              <w:right w:val="nil"/>
            </w:tcBorders>
            <w:shd w:val="clear" w:color="auto" w:fill="auto"/>
            <w:noWrap/>
            <w:vAlign w:val="bottom"/>
            <w:hideMark/>
          </w:tcPr>
          <w:p w14:paraId="180372DE" w14:textId="77777777" w:rsidR="00903ED5" w:rsidRPr="000E2D07" w:rsidRDefault="00903ED5" w:rsidP="00903ED5">
            <w:pPr>
              <w:spacing w:after="0" w:line="240" w:lineRule="auto"/>
              <w:jc w:val="center"/>
              <w:rPr>
                <w:rFonts w:eastAsia="Times New Roman" w:cstheme="minorHAnsi"/>
                <w:sz w:val="20"/>
                <w:szCs w:val="24"/>
                <w:lang w:eastAsia="es-ES"/>
              </w:rPr>
            </w:pPr>
            <w:r w:rsidRPr="000E2D07">
              <w:rPr>
                <w:rFonts w:eastAsia="Times New Roman" w:cstheme="minorHAnsi"/>
                <w:sz w:val="20"/>
                <w:szCs w:val="24"/>
                <w:lang w:eastAsia="es-ES"/>
              </w:rPr>
              <w:t>176</w:t>
            </w:r>
          </w:p>
        </w:tc>
      </w:tr>
      <w:tr w:rsidR="00903ED5" w:rsidRPr="000E2D07" w14:paraId="41AD7BAE" w14:textId="77777777" w:rsidTr="00335059">
        <w:trPr>
          <w:trHeight w:val="255"/>
          <w:jc w:val="center"/>
        </w:trPr>
        <w:tc>
          <w:tcPr>
            <w:tcW w:w="2977" w:type="dxa"/>
            <w:tcBorders>
              <w:top w:val="nil"/>
              <w:left w:val="nil"/>
              <w:bottom w:val="nil"/>
              <w:right w:val="nil"/>
            </w:tcBorders>
            <w:shd w:val="clear" w:color="auto" w:fill="auto"/>
            <w:noWrap/>
            <w:vAlign w:val="bottom"/>
            <w:hideMark/>
          </w:tcPr>
          <w:p w14:paraId="41B83431" w14:textId="77777777" w:rsidR="00903ED5" w:rsidRPr="000E2D07" w:rsidRDefault="00903ED5" w:rsidP="00903ED5">
            <w:pPr>
              <w:spacing w:after="0" w:line="240" w:lineRule="auto"/>
              <w:rPr>
                <w:rFonts w:eastAsia="Times New Roman" w:cstheme="minorHAnsi"/>
                <w:sz w:val="20"/>
                <w:szCs w:val="24"/>
                <w:lang w:val="en-US" w:eastAsia="es-ES"/>
              </w:rPr>
            </w:pPr>
            <w:r w:rsidRPr="000E2D07">
              <w:rPr>
                <w:rFonts w:eastAsia="Times New Roman" w:cstheme="minorHAnsi"/>
                <w:sz w:val="20"/>
                <w:szCs w:val="24"/>
                <w:lang w:val="en-US" w:eastAsia="es-ES"/>
              </w:rPr>
              <w:t>International Journal of Engineering Pedagogy (</w:t>
            </w:r>
            <w:proofErr w:type="spellStart"/>
            <w:r w:rsidRPr="000E2D07">
              <w:rPr>
                <w:rFonts w:eastAsia="Times New Roman" w:cstheme="minorHAnsi"/>
                <w:sz w:val="20"/>
                <w:szCs w:val="24"/>
                <w:lang w:val="en-US" w:eastAsia="es-ES"/>
              </w:rPr>
              <w:t>iJEP</w:t>
            </w:r>
            <w:proofErr w:type="spellEnd"/>
            <w:r w:rsidRPr="000E2D07">
              <w:rPr>
                <w:rFonts w:eastAsia="Times New Roman" w:cstheme="minorHAnsi"/>
                <w:sz w:val="20"/>
                <w:szCs w:val="24"/>
                <w:lang w:val="en-US" w:eastAsia="es-ES"/>
              </w:rPr>
              <w:t>)</w:t>
            </w:r>
          </w:p>
        </w:tc>
        <w:tc>
          <w:tcPr>
            <w:tcW w:w="4253" w:type="dxa"/>
            <w:tcBorders>
              <w:top w:val="nil"/>
              <w:left w:val="nil"/>
              <w:bottom w:val="nil"/>
              <w:right w:val="nil"/>
            </w:tcBorders>
            <w:shd w:val="clear" w:color="auto" w:fill="auto"/>
            <w:noWrap/>
            <w:vAlign w:val="bottom"/>
            <w:hideMark/>
          </w:tcPr>
          <w:p w14:paraId="52B72560" w14:textId="77777777" w:rsidR="00903ED5" w:rsidRPr="000E2D07" w:rsidRDefault="00903ED5" w:rsidP="00903ED5">
            <w:pPr>
              <w:spacing w:after="0" w:line="240" w:lineRule="auto"/>
              <w:rPr>
                <w:rFonts w:eastAsia="Times New Roman" w:cstheme="minorHAnsi"/>
                <w:sz w:val="20"/>
                <w:szCs w:val="24"/>
                <w:lang w:val="en-US" w:eastAsia="es-ES"/>
              </w:rPr>
            </w:pPr>
            <w:proofErr w:type="spellStart"/>
            <w:r w:rsidRPr="000E2D07">
              <w:rPr>
                <w:rFonts w:eastAsia="Times New Roman" w:cstheme="minorHAnsi"/>
                <w:sz w:val="20"/>
                <w:szCs w:val="24"/>
                <w:lang w:val="en-US" w:eastAsia="es-ES"/>
              </w:rPr>
              <w:t>Editora</w:t>
            </w:r>
            <w:proofErr w:type="spellEnd"/>
            <w:r w:rsidRPr="000E2D07">
              <w:rPr>
                <w:rFonts w:eastAsia="Times New Roman" w:cstheme="minorHAnsi"/>
                <w:sz w:val="20"/>
                <w:szCs w:val="24"/>
                <w:lang w:val="en-US" w:eastAsia="es-ES"/>
              </w:rPr>
              <w:t xml:space="preserve"> </w:t>
            </w:r>
            <w:proofErr w:type="spellStart"/>
            <w:r w:rsidRPr="000E2D07">
              <w:rPr>
                <w:rFonts w:eastAsia="Times New Roman" w:cstheme="minorHAnsi"/>
                <w:sz w:val="20"/>
                <w:szCs w:val="24"/>
                <w:lang w:val="en-US" w:eastAsia="es-ES"/>
              </w:rPr>
              <w:t>radicada</w:t>
            </w:r>
            <w:proofErr w:type="spellEnd"/>
            <w:r w:rsidRPr="000E2D07">
              <w:rPr>
                <w:rFonts w:eastAsia="Times New Roman" w:cstheme="minorHAnsi"/>
                <w:sz w:val="20"/>
                <w:szCs w:val="24"/>
                <w:lang w:val="en-US" w:eastAsia="es-ES"/>
              </w:rPr>
              <w:t xml:space="preserve"> </w:t>
            </w:r>
            <w:proofErr w:type="spellStart"/>
            <w:r w:rsidRPr="000E2D07">
              <w:rPr>
                <w:rFonts w:eastAsia="Times New Roman" w:cstheme="minorHAnsi"/>
                <w:sz w:val="20"/>
                <w:szCs w:val="24"/>
                <w:lang w:val="en-US" w:eastAsia="es-ES"/>
              </w:rPr>
              <w:t>en</w:t>
            </w:r>
            <w:proofErr w:type="spellEnd"/>
            <w:r w:rsidRPr="000E2D07">
              <w:rPr>
                <w:rFonts w:eastAsia="Times New Roman" w:cstheme="minorHAnsi"/>
                <w:sz w:val="20"/>
                <w:szCs w:val="24"/>
                <w:lang w:val="en-US" w:eastAsia="es-ES"/>
              </w:rPr>
              <w:t xml:space="preserve"> Carinthia University of Applied Sciences</w:t>
            </w:r>
          </w:p>
        </w:tc>
        <w:tc>
          <w:tcPr>
            <w:tcW w:w="1134" w:type="dxa"/>
            <w:tcBorders>
              <w:top w:val="nil"/>
              <w:left w:val="nil"/>
              <w:bottom w:val="nil"/>
              <w:right w:val="nil"/>
            </w:tcBorders>
            <w:shd w:val="clear" w:color="auto" w:fill="auto"/>
            <w:noWrap/>
            <w:vAlign w:val="bottom"/>
            <w:hideMark/>
          </w:tcPr>
          <w:p w14:paraId="5721AB17" w14:textId="77777777" w:rsidR="00903ED5" w:rsidRPr="000E2D07" w:rsidRDefault="00903ED5" w:rsidP="00903ED5">
            <w:pPr>
              <w:spacing w:after="0" w:line="240" w:lineRule="auto"/>
              <w:jc w:val="center"/>
              <w:rPr>
                <w:rFonts w:eastAsia="Times New Roman" w:cstheme="minorHAnsi"/>
                <w:sz w:val="20"/>
                <w:szCs w:val="24"/>
                <w:lang w:eastAsia="es-ES"/>
              </w:rPr>
            </w:pPr>
            <w:r w:rsidRPr="000E2D07">
              <w:rPr>
                <w:rFonts w:eastAsia="Times New Roman" w:cstheme="minorHAnsi"/>
                <w:sz w:val="20"/>
                <w:szCs w:val="24"/>
                <w:lang w:eastAsia="es-ES"/>
              </w:rPr>
              <w:t>230</w:t>
            </w:r>
          </w:p>
        </w:tc>
      </w:tr>
      <w:tr w:rsidR="00903ED5" w:rsidRPr="000E2D07" w14:paraId="668305B2" w14:textId="77777777" w:rsidTr="00335059">
        <w:trPr>
          <w:trHeight w:val="255"/>
          <w:jc w:val="center"/>
        </w:trPr>
        <w:tc>
          <w:tcPr>
            <w:tcW w:w="2977" w:type="dxa"/>
            <w:tcBorders>
              <w:top w:val="nil"/>
              <w:left w:val="nil"/>
              <w:bottom w:val="single" w:sz="4" w:space="0" w:color="auto"/>
              <w:right w:val="nil"/>
            </w:tcBorders>
            <w:shd w:val="clear" w:color="auto" w:fill="auto"/>
            <w:noWrap/>
            <w:vAlign w:val="bottom"/>
            <w:hideMark/>
          </w:tcPr>
          <w:p w14:paraId="376E9263" w14:textId="77777777" w:rsidR="00903ED5" w:rsidRPr="000E2D07" w:rsidRDefault="00903ED5" w:rsidP="00903ED5">
            <w:pPr>
              <w:spacing w:after="0" w:line="240" w:lineRule="auto"/>
              <w:rPr>
                <w:rFonts w:eastAsia="Times New Roman" w:cstheme="minorHAnsi"/>
                <w:sz w:val="20"/>
                <w:szCs w:val="24"/>
                <w:lang w:val="en-US" w:eastAsia="es-ES"/>
              </w:rPr>
            </w:pPr>
            <w:r w:rsidRPr="000E2D07">
              <w:rPr>
                <w:rFonts w:eastAsia="Times New Roman" w:cstheme="minorHAnsi"/>
                <w:sz w:val="20"/>
                <w:szCs w:val="24"/>
                <w:lang w:val="en-US" w:eastAsia="es-ES"/>
              </w:rPr>
              <w:t>IEEE Transactions on Education (</w:t>
            </w:r>
            <w:proofErr w:type="spellStart"/>
            <w:r w:rsidRPr="000E2D07">
              <w:rPr>
                <w:rFonts w:eastAsia="Times New Roman" w:cstheme="minorHAnsi"/>
                <w:sz w:val="20"/>
                <w:szCs w:val="24"/>
                <w:lang w:val="en-US" w:eastAsia="es-ES"/>
              </w:rPr>
              <w:t>ToE</w:t>
            </w:r>
            <w:proofErr w:type="spellEnd"/>
            <w:r w:rsidRPr="000E2D07">
              <w:rPr>
                <w:rFonts w:eastAsia="Times New Roman" w:cstheme="minorHAnsi"/>
                <w:sz w:val="20"/>
                <w:szCs w:val="24"/>
                <w:lang w:val="en-US" w:eastAsia="es-ES"/>
              </w:rPr>
              <w:t>)</w:t>
            </w:r>
          </w:p>
        </w:tc>
        <w:tc>
          <w:tcPr>
            <w:tcW w:w="4253" w:type="dxa"/>
            <w:tcBorders>
              <w:top w:val="nil"/>
              <w:left w:val="nil"/>
              <w:bottom w:val="single" w:sz="4" w:space="0" w:color="auto"/>
              <w:right w:val="nil"/>
            </w:tcBorders>
            <w:shd w:val="clear" w:color="auto" w:fill="auto"/>
            <w:noWrap/>
            <w:vAlign w:val="bottom"/>
            <w:hideMark/>
          </w:tcPr>
          <w:p w14:paraId="27F2A114" w14:textId="77777777" w:rsidR="00903ED5" w:rsidRPr="000E2D07" w:rsidRDefault="00903ED5" w:rsidP="00903ED5">
            <w:pPr>
              <w:spacing w:after="0" w:line="240" w:lineRule="auto"/>
              <w:rPr>
                <w:rFonts w:eastAsia="Times New Roman" w:cstheme="minorHAnsi"/>
                <w:sz w:val="20"/>
                <w:szCs w:val="24"/>
                <w:lang w:eastAsia="es-ES"/>
              </w:rPr>
            </w:pPr>
            <w:r w:rsidRPr="000E2D07">
              <w:rPr>
                <w:rFonts w:eastAsia="Times New Roman" w:cstheme="minorHAnsi"/>
                <w:sz w:val="20"/>
                <w:szCs w:val="24"/>
                <w:lang w:eastAsia="es-ES"/>
              </w:rPr>
              <w:t xml:space="preserve">IEEE </w:t>
            </w:r>
            <w:proofErr w:type="spellStart"/>
            <w:r w:rsidRPr="000E2D07">
              <w:rPr>
                <w:rFonts w:eastAsia="Times New Roman" w:cstheme="minorHAnsi"/>
                <w:sz w:val="20"/>
                <w:szCs w:val="24"/>
                <w:lang w:eastAsia="es-ES"/>
              </w:rPr>
              <w:t>Education</w:t>
            </w:r>
            <w:proofErr w:type="spellEnd"/>
            <w:r w:rsidRPr="000E2D07">
              <w:rPr>
                <w:rFonts w:eastAsia="Times New Roman" w:cstheme="minorHAnsi"/>
                <w:sz w:val="20"/>
                <w:szCs w:val="24"/>
                <w:lang w:eastAsia="es-ES"/>
              </w:rPr>
              <w:t xml:space="preserve"> </w:t>
            </w:r>
            <w:proofErr w:type="spellStart"/>
            <w:r w:rsidRPr="000E2D07">
              <w:rPr>
                <w:rFonts w:eastAsia="Times New Roman" w:cstheme="minorHAnsi"/>
                <w:sz w:val="20"/>
                <w:szCs w:val="24"/>
                <w:lang w:eastAsia="es-ES"/>
              </w:rPr>
              <w:t>Society</w:t>
            </w:r>
            <w:proofErr w:type="spellEnd"/>
          </w:p>
        </w:tc>
        <w:tc>
          <w:tcPr>
            <w:tcW w:w="1134" w:type="dxa"/>
            <w:tcBorders>
              <w:top w:val="nil"/>
              <w:left w:val="nil"/>
              <w:bottom w:val="single" w:sz="4" w:space="0" w:color="auto"/>
              <w:right w:val="nil"/>
            </w:tcBorders>
            <w:shd w:val="clear" w:color="auto" w:fill="auto"/>
            <w:noWrap/>
            <w:vAlign w:val="bottom"/>
            <w:hideMark/>
          </w:tcPr>
          <w:p w14:paraId="221A5030" w14:textId="77777777" w:rsidR="00903ED5" w:rsidRPr="000E2D07" w:rsidRDefault="00903ED5" w:rsidP="00903ED5">
            <w:pPr>
              <w:spacing w:after="0" w:line="240" w:lineRule="auto"/>
              <w:jc w:val="center"/>
              <w:rPr>
                <w:rFonts w:eastAsia="Times New Roman" w:cstheme="minorHAnsi"/>
                <w:sz w:val="20"/>
                <w:szCs w:val="24"/>
                <w:lang w:eastAsia="es-ES"/>
              </w:rPr>
            </w:pPr>
            <w:r w:rsidRPr="000E2D07">
              <w:rPr>
                <w:rFonts w:eastAsia="Times New Roman" w:cstheme="minorHAnsi"/>
                <w:sz w:val="20"/>
                <w:szCs w:val="24"/>
                <w:lang w:eastAsia="es-ES"/>
              </w:rPr>
              <w:t>250</w:t>
            </w:r>
          </w:p>
        </w:tc>
      </w:tr>
      <w:tr w:rsidR="00903ED5" w:rsidRPr="000E2D07" w14:paraId="5DB70197" w14:textId="77777777" w:rsidTr="00335059">
        <w:trPr>
          <w:trHeight w:val="255"/>
          <w:jc w:val="center"/>
        </w:trPr>
        <w:tc>
          <w:tcPr>
            <w:tcW w:w="7230" w:type="dxa"/>
            <w:gridSpan w:val="2"/>
            <w:tcBorders>
              <w:top w:val="single" w:sz="4" w:space="0" w:color="auto"/>
              <w:left w:val="nil"/>
              <w:bottom w:val="single" w:sz="4" w:space="0" w:color="auto"/>
              <w:right w:val="nil"/>
            </w:tcBorders>
            <w:shd w:val="clear" w:color="auto" w:fill="auto"/>
            <w:noWrap/>
            <w:vAlign w:val="bottom"/>
            <w:hideMark/>
          </w:tcPr>
          <w:p w14:paraId="4B7E69B6" w14:textId="77777777" w:rsidR="00903ED5" w:rsidRPr="000E2D07" w:rsidRDefault="00903ED5" w:rsidP="00903ED5">
            <w:pPr>
              <w:spacing w:after="0" w:line="240" w:lineRule="auto"/>
              <w:jc w:val="center"/>
              <w:rPr>
                <w:rFonts w:eastAsia="Times New Roman" w:cstheme="minorHAnsi"/>
                <w:color w:val="000000"/>
                <w:sz w:val="20"/>
                <w:szCs w:val="24"/>
                <w:lang w:eastAsia="es-ES"/>
              </w:rPr>
            </w:pPr>
            <w:proofErr w:type="gramStart"/>
            <w:r w:rsidRPr="000E2D07">
              <w:rPr>
                <w:rFonts w:eastAsia="Times New Roman" w:cstheme="minorHAnsi"/>
                <w:color w:val="000000"/>
                <w:sz w:val="20"/>
                <w:szCs w:val="24"/>
                <w:lang w:eastAsia="es-ES"/>
              </w:rPr>
              <w:t>Total</w:t>
            </w:r>
            <w:proofErr w:type="gramEnd"/>
            <w:r w:rsidRPr="000E2D07">
              <w:rPr>
                <w:rFonts w:eastAsia="Times New Roman" w:cstheme="minorHAnsi"/>
                <w:color w:val="000000"/>
                <w:sz w:val="20"/>
                <w:szCs w:val="24"/>
                <w:lang w:eastAsia="es-ES"/>
              </w:rPr>
              <w:t xml:space="preserve"> de Artículos </w:t>
            </w:r>
          </w:p>
        </w:tc>
        <w:tc>
          <w:tcPr>
            <w:tcW w:w="1134" w:type="dxa"/>
            <w:tcBorders>
              <w:top w:val="single" w:sz="4" w:space="0" w:color="auto"/>
              <w:left w:val="nil"/>
              <w:bottom w:val="single" w:sz="4" w:space="0" w:color="auto"/>
              <w:right w:val="nil"/>
            </w:tcBorders>
            <w:shd w:val="clear" w:color="auto" w:fill="auto"/>
            <w:noWrap/>
            <w:vAlign w:val="bottom"/>
            <w:hideMark/>
          </w:tcPr>
          <w:p w14:paraId="4BAA421C" w14:textId="77777777" w:rsidR="00903ED5" w:rsidRPr="000E2D07" w:rsidRDefault="00903ED5" w:rsidP="00903ED5">
            <w:pPr>
              <w:spacing w:after="0" w:line="240" w:lineRule="auto"/>
              <w:jc w:val="center"/>
              <w:rPr>
                <w:rFonts w:eastAsia="Times New Roman" w:cstheme="minorHAnsi"/>
                <w:color w:val="000000"/>
                <w:sz w:val="20"/>
                <w:szCs w:val="24"/>
                <w:lang w:eastAsia="es-ES"/>
              </w:rPr>
            </w:pPr>
            <w:r w:rsidRPr="000E2D07">
              <w:rPr>
                <w:rFonts w:eastAsia="Times New Roman" w:cstheme="minorHAnsi"/>
                <w:color w:val="000000"/>
                <w:sz w:val="20"/>
                <w:szCs w:val="24"/>
                <w:lang w:eastAsia="es-ES"/>
              </w:rPr>
              <w:t>1831</w:t>
            </w:r>
          </w:p>
        </w:tc>
      </w:tr>
    </w:tbl>
    <w:p w14:paraId="487FC66A" w14:textId="77777777" w:rsidR="00903ED5" w:rsidRPr="00956007" w:rsidRDefault="00903ED5" w:rsidP="004F3E94">
      <w:pPr>
        <w:spacing w:after="0" w:line="240" w:lineRule="auto"/>
        <w:rPr>
          <w:rFonts w:cstheme="minorHAnsi"/>
          <w:noProof/>
          <w:sz w:val="24"/>
          <w:szCs w:val="24"/>
        </w:rPr>
      </w:pPr>
    </w:p>
    <w:p w14:paraId="54424CE3" w14:textId="27F46BBC" w:rsidR="00D25DE5" w:rsidRPr="00D25DE5" w:rsidRDefault="00D25DE5" w:rsidP="00D25DE5">
      <w:pPr>
        <w:spacing w:after="0" w:line="240" w:lineRule="auto"/>
        <w:jc w:val="both"/>
        <w:rPr>
          <w:rFonts w:cstheme="minorHAnsi"/>
          <w:noProof/>
          <w:sz w:val="24"/>
          <w:szCs w:val="24"/>
        </w:rPr>
      </w:pPr>
      <w:r w:rsidRPr="00D25DE5">
        <w:rPr>
          <w:rFonts w:cstheme="minorHAnsi"/>
          <w:noProof/>
          <w:sz w:val="24"/>
          <w:szCs w:val="24"/>
        </w:rPr>
        <w:t xml:space="preserve">Como criterio de selección de las revistas se consideró que su linea editorial estuviese dedicado únicamente a la </w:t>
      </w:r>
      <w:r w:rsidR="0081080C">
        <w:rPr>
          <w:rFonts w:cstheme="minorHAnsi"/>
          <w:noProof/>
          <w:sz w:val="24"/>
          <w:szCs w:val="24"/>
        </w:rPr>
        <w:t>EE</w:t>
      </w:r>
      <w:r w:rsidRPr="00D25DE5">
        <w:rPr>
          <w:rFonts w:cstheme="minorHAnsi"/>
          <w:noProof/>
          <w:sz w:val="24"/>
          <w:szCs w:val="24"/>
        </w:rPr>
        <w:t xml:space="preserve">. Siete de las revistas seleccionadas constituyen medios de divulgación científica de asociaciones que tienen como objetivo promover la investigación en </w:t>
      </w:r>
      <w:r w:rsidR="0081080C">
        <w:rPr>
          <w:rFonts w:cstheme="minorHAnsi"/>
          <w:noProof/>
          <w:sz w:val="24"/>
          <w:szCs w:val="24"/>
        </w:rPr>
        <w:t>EE</w:t>
      </w:r>
      <w:r w:rsidRPr="00D25DE5">
        <w:rPr>
          <w:rFonts w:cstheme="minorHAnsi"/>
          <w:noProof/>
          <w:sz w:val="24"/>
          <w:szCs w:val="24"/>
        </w:rPr>
        <w:t xml:space="preserve">. </w:t>
      </w:r>
    </w:p>
    <w:p w14:paraId="0E8C8339" w14:textId="3804A24C" w:rsidR="00D25DE5" w:rsidRPr="00D25DE5" w:rsidRDefault="00D25DE5" w:rsidP="00D25DE5">
      <w:pPr>
        <w:spacing w:after="0" w:line="240" w:lineRule="auto"/>
        <w:jc w:val="both"/>
        <w:rPr>
          <w:rFonts w:cstheme="minorHAnsi"/>
          <w:noProof/>
          <w:sz w:val="24"/>
          <w:szCs w:val="24"/>
        </w:rPr>
      </w:pPr>
      <w:r w:rsidRPr="00D25DE5">
        <w:rPr>
          <w:rFonts w:cstheme="minorHAnsi"/>
          <w:noProof/>
          <w:sz w:val="24"/>
          <w:szCs w:val="24"/>
        </w:rPr>
        <w:t xml:space="preserve">Se realizó un proceso de codificación de categorías híbrido, lo cual significa que a priori se seleccionaron un conjunto de categorías propias del área de la </w:t>
      </w:r>
      <w:r w:rsidR="0081080C">
        <w:rPr>
          <w:rFonts w:cstheme="minorHAnsi"/>
          <w:noProof/>
          <w:sz w:val="24"/>
          <w:szCs w:val="24"/>
        </w:rPr>
        <w:t>EE</w:t>
      </w:r>
      <w:r w:rsidRPr="00D25DE5">
        <w:rPr>
          <w:rFonts w:cstheme="minorHAnsi"/>
          <w:noProof/>
          <w:sz w:val="24"/>
          <w:szCs w:val="24"/>
        </w:rPr>
        <w:t xml:space="preserve">, dando la posibilidad de incorporar durante el proceso de codificación aquellas categorías que no se encontraban en la taxonomía inicial. Esta codificación se realizó con el software Atlas.ti versión 9. Tanto el libro de códigos, como el archivo Excel resultados del proceso de codificación fueron consultados durante la investigación. El archivo Excel se importó para el software Gephi 0.9.2, que es una herramienta para el análisis de redes y de esa manera ofrecer un mapa de las categorías de la </w:t>
      </w:r>
      <w:r w:rsidR="0081080C">
        <w:rPr>
          <w:rFonts w:cstheme="minorHAnsi"/>
          <w:noProof/>
          <w:sz w:val="24"/>
          <w:szCs w:val="24"/>
        </w:rPr>
        <w:t>EE</w:t>
      </w:r>
      <w:r w:rsidRPr="00D25DE5">
        <w:rPr>
          <w:rFonts w:cstheme="minorHAnsi"/>
          <w:noProof/>
          <w:sz w:val="24"/>
          <w:szCs w:val="24"/>
        </w:rPr>
        <w:t xml:space="preserve"> obtenido con base a las 8 revistas seleccionadas en el intervalo de tiempo estudiado.</w:t>
      </w:r>
    </w:p>
    <w:p w14:paraId="34184853" w14:textId="0159631C" w:rsidR="00903ED5" w:rsidRPr="00956007" w:rsidRDefault="00D25DE5" w:rsidP="00D25DE5">
      <w:pPr>
        <w:spacing w:after="0" w:line="240" w:lineRule="auto"/>
        <w:jc w:val="both"/>
        <w:rPr>
          <w:rFonts w:cstheme="minorHAnsi"/>
          <w:noProof/>
          <w:sz w:val="24"/>
          <w:szCs w:val="24"/>
        </w:rPr>
      </w:pPr>
      <w:r w:rsidRPr="00D25DE5">
        <w:rPr>
          <w:rFonts w:cstheme="minorHAnsi"/>
          <w:noProof/>
          <w:sz w:val="24"/>
          <w:szCs w:val="24"/>
        </w:rPr>
        <w:t>Seguidamente, con el objetivo de hacer una valoración del grado de convergencia entre CoP, dado que cada revista opera como un canal de socialización de los resultados investigativos de ciertas CoP, se decidió evaluar si en la etapa estudiada se manifiestan niveles de convergencias entre las líneas de investigación. Para lograr este propósito se calculó el índice de Jaccard (iJ). El mismo es una medida de similitud simétrica clásica entre conjuntos, que basado en datos binarios (0,1) que expresan la presencia o ausencia de un elemento en los conjuntos a comparar,  mide el tamaño relativo de la superposición de dos conjuntos finitos (Kosub, 2019).</w:t>
      </w:r>
    </w:p>
    <w:p w14:paraId="6391439C" w14:textId="4B85C778" w:rsidR="00BD3436" w:rsidRDefault="00BD3436" w:rsidP="00D1580F">
      <w:pPr>
        <w:spacing w:after="0" w:line="240" w:lineRule="auto"/>
        <w:jc w:val="both"/>
        <w:rPr>
          <w:rFonts w:cstheme="minorHAnsi"/>
          <w:noProof/>
          <w:sz w:val="24"/>
          <w:szCs w:val="24"/>
        </w:rPr>
      </w:pPr>
      <m:oMathPara>
        <m:oMath>
          <m:r>
            <w:rPr>
              <w:rFonts w:ascii="Cambria Math" w:hAnsi="Cambria Math" w:cstheme="minorHAnsi"/>
              <w:noProof/>
              <w:sz w:val="24"/>
              <w:szCs w:val="24"/>
            </w:rPr>
            <m:t>iJ=</m:t>
          </m:r>
          <m:f>
            <m:fPr>
              <m:ctrlPr>
                <w:rPr>
                  <w:rFonts w:ascii="Cambria Math" w:hAnsi="Cambria Math" w:cstheme="minorHAnsi"/>
                  <w:noProof/>
                  <w:sz w:val="24"/>
                  <w:szCs w:val="24"/>
                </w:rPr>
              </m:ctrlPr>
            </m:fPr>
            <m:num>
              <m:r>
                <w:rPr>
                  <w:rFonts w:ascii="Cambria Math" w:hAnsi="Cambria Math" w:cstheme="minorHAnsi"/>
                  <w:noProof/>
                  <w:sz w:val="24"/>
                  <w:szCs w:val="24"/>
                </w:rPr>
                <m:t>c</m:t>
              </m:r>
            </m:num>
            <m:den>
              <m:r>
                <w:rPr>
                  <w:rFonts w:ascii="Cambria Math" w:hAnsi="Cambria Math" w:cstheme="minorHAnsi"/>
                  <w:noProof/>
                  <w:sz w:val="24"/>
                  <w:szCs w:val="24"/>
                </w:rPr>
                <m:t>a+b-c</m:t>
              </m:r>
            </m:den>
          </m:f>
        </m:oMath>
      </m:oMathPara>
    </w:p>
    <w:p w14:paraId="2CD9CAC1" w14:textId="3A4423E8" w:rsidR="00BD3436" w:rsidRDefault="00BD3436" w:rsidP="00D1580F">
      <w:pPr>
        <w:spacing w:after="0" w:line="240" w:lineRule="auto"/>
        <w:jc w:val="both"/>
        <w:rPr>
          <w:rFonts w:cstheme="minorHAnsi"/>
          <w:noProof/>
          <w:sz w:val="24"/>
          <w:szCs w:val="24"/>
        </w:rPr>
      </w:pPr>
    </w:p>
    <w:p w14:paraId="3BC4CC43" w14:textId="3C3B213B" w:rsidR="00936A10" w:rsidRPr="00956007" w:rsidRDefault="00936A10" w:rsidP="009A0FD0">
      <w:pPr>
        <w:spacing w:after="0" w:line="240" w:lineRule="auto"/>
        <w:jc w:val="both"/>
        <w:rPr>
          <w:rFonts w:cstheme="minorHAnsi"/>
          <w:noProof/>
          <w:sz w:val="24"/>
          <w:szCs w:val="24"/>
        </w:rPr>
      </w:pPr>
      <w:r w:rsidRPr="00956007">
        <w:rPr>
          <w:rFonts w:cstheme="minorHAnsi"/>
          <w:noProof/>
          <w:sz w:val="24"/>
          <w:szCs w:val="24"/>
        </w:rPr>
        <w:t>Los valores de</w:t>
      </w:r>
      <w:r w:rsidR="00AC5EDE" w:rsidRPr="00956007">
        <w:rPr>
          <w:rFonts w:cstheme="minorHAnsi"/>
          <w:noProof/>
          <w:sz w:val="24"/>
          <w:szCs w:val="24"/>
        </w:rPr>
        <w:t>l</w:t>
      </w:r>
      <w:r w:rsidRPr="00956007">
        <w:rPr>
          <w:rFonts w:cstheme="minorHAnsi"/>
          <w:noProof/>
          <w:sz w:val="24"/>
          <w:szCs w:val="24"/>
        </w:rPr>
        <w:t xml:space="preserve"> </w:t>
      </w:r>
      <m:oMath>
        <m:r>
          <w:rPr>
            <w:rFonts w:ascii="Cambria Math" w:hAnsi="Cambria Math" w:cstheme="minorHAnsi"/>
            <w:noProof/>
            <w:sz w:val="24"/>
            <w:szCs w:val="24"/>
          </w:rPr>
          <m:t>iJ</m:t>
        </m:r>
      </m:oMath>
      <w:r w:rsidRPr="00956007">
        <w:rPr>
          <w:rFonts w:cstheme="minorHAnsi"/>
          <w:noProof/>
          <w:sz w:val="24"/>
          <w:szCs w:val="24"/>
        </w:rPr>
        <w:t xml:space="preserve"> están comprendidos </w:t>
      </w:r>
      <m:oMath>
        <m:r>
          <w:rPr>
            <w:rFonts w:ascii="Cambria Math" w:hAnsi="Cambria Math" w:cstheme="minorHAnsi"/>
            <w:noProof/>
            <w:sz w:val="24"/>
            <w:szCs w:val="24"/>
          </w:rPr>
          <m:t>0≤iJ≤1</m:t>
        </m:r>
      </m:oMath>
      <w:r w:rsidRPr="00956007">
        <w:rPr>
          <w:rFonts w:eastAsiaTheme="minorEastAsia" w:cstheme="minorHAnsi"/>
          <w:noProof/>
          <w:sz w:val="24"/>
          <w:szCs w:val="24"/>
        </w:rPr>
        <w:t xml:space="preserve">. Donde </w:t>
      </w:r>
      <m:oMath>
        <m:r>
          <w:rPr>
            <w:rFonts w:ascii="Cambria Math" w:eastAsiaTheme="minorEastAsia" w:hAnsi="Cambria Math" w:cstheme="minorHAnsi"/>
            <w:noProof/>
            <w:sz w:val="24"/>
            <w:szCs w:val="24"/>
          </w:rPr>
          <m:t>a</m:t>
        </m:r>
      </m:oMath>
      <w:r w:rsidRPr="00956007">
        <w:rPr>
          <w:rFonts w:eastAsiaTheme="minorEastAsia" w:cstheme="minorHAnsi"/>
          <w:noProof/>
          <w:sz w:val="24"/>
          <w:szCs w:val="24"/>
        </w:rPr>
        <w:t xml:space="preserve"> y </w:t>
      </w:r>
      <m:oMath>
        <m:r>
          <w:rPr>
            <w:rFonts w:ascii="Cambria Math" w:eastAsiaTheme="minorEastAsia" w:hAnsi="Cambria Math" w:cstheme="minorHAnsi"/>
            <w:noProof/>
            <w:sz w:val="24"/>
            <w:szCs w:val="24"/>
          </w:rPr>
          <m:t>b</m:t>
        </m:r>
      </m:oMath>
      <w:r w:rsidRPr="00956007">
        <w:rPr>
          <w:rFonts w:eastAsiaTheme="minorEastAsia" w:cstheme="minorHAnsi"/>
          <w:noProof/>
          <w:sz w:val="24"/>
          <w:szCs w:val="24"/>
        </w:rPr>
        <w:t xml:space="preserve"> son los elementos excluyentes de cada conjunto y </w:t>
      </w:r>
      <m:oMath>
        <m:r>
          <w:rPr>
            <w:rFonts w:ascii="Cambria Math" w:eastAsiaTheme="minorEastAsia" w:hAnsi="Cambria Math" w:cstheme="minorHAnsi"/>
            <w:noProof/>
            <w:sz w:val="24"/>
            <w:szCs w:val="24"/>
          </w:rPr>
          <m:t>c</m:t>
        </m:r>
      </m:oMath>
      <w:r w:rsidRPr="00956007">
        <w:rPr>
          <w:rFonts w:eastAsiaTheme="minorEastAsia" w:cstheme="minorHAnsi"/>
          <w:noProof/>
          <w:sz w:val="24"/>
          <w:szCs w:val="24"/>
        </w:rPr>
        <w:t xml:space="preserve"> los elementos comunes. </w:t>
      </w:r>
      <w:r w:rsidR="009A0FD0" w:rsidRPr="00956007">
        <w:rPr>
          <w:rFonts w:eastAsiaTheme="minorEastAsia" w:cstheme="minorHAnsi"/>
          <w:noProof/>
          <w:sz w:val="24"/>
          <w:szCs w:val="24"/>
        </w:rPr>
        <w:t xml:space="preserve">La comparación de cada una de las revistas permiten obtener la </w:t>
      </w:r>
      <w:r w:rsidR="007927F7" w:rsidRPr="00956007">
        <w:rPr>
          <w:rFonts w:eastAsiaTheme="minorEastAsia" w:cstheme="minorHAnsi"/>
          <w:noProof/>
          <w:sz w:val="24"/>
          <w:szCs w:val="24"/>
        </w:rPr>
        <w:t>m</w:t>
      </w:r>
      <w:r w:rsidR="009A0FD0" w:rsidRPr="00956007">
        <w:rPr>
          <w:rFonts w:eastAsiaTheme="minorEastAsia" w:cstheme="minorHAnsi"/>
          <w:noProof/>
          <w:sz w:val="24"/>
          <w:szCs w:val="24"/>
        </w:rPr>
        <w:t xml:space="preserve">atriz de similiaridad de Jaccard, la cual se calculó a través de </w:t>
      </w:r>
      <w:r w:rsidR="007927F7" w:rsidRPr="00956007">
        <w:rPr>
          <w:rFonts w:eastAsiaTheme="minorEastAsia" w:cstheme="minorHAnsi"/>
          <w:noProof/>
          <w:sz w:val="24"/>
          <w:szCs w:val="24"/>
        </w:rPr>
        <w:t>software Past versión 4.</w:t>
      </w:r>
      <w:r w:rsidR="00096C04" w:rsidRPr="00956007">
        <w:rPr>
          <w:rFonts w:eastAsiaTheme="minorEastAsia" w:cstheme="minorHAnsi"/>
          <w:noProof/>
          <w:sz w:val="24"/>
          <w:szCs w:val="24"/>
        </w:rPr>
        <w:t xml:space="preserve">03. </w:t>
      </w:r>
    </w:p>
    <w:p w14:paraId="421DD040" w14:textId="5982B221" w:rsidR="00936A10" w:rsidRDefault="00936A10" w:rsidP="004F3E94">
      <w:pPr>
        <w:spacing w:after="0" w:line="240" w:lineRule="auto"/>
        <w:rPr>
          <w:rFonts w:cstheme="minorHAnsi"/>
          <w:noProof/>
          <w:sz w:val="24"/>
          <w:szCs w:val="24"/>
        </w:rPr>
      </w:pPr>
    </w:p>
    <w:p w14:paraId="5FED83F2" w14:textId="290F7CDC" w:rsidR="00936A10" w:rsidRDefault="00E133E8" w:rsidP="004F3E94">
      <w:pPr>
        <w:spacing w:after="0" w:line="240" w:lineRule="auto"/>
        <w:rPr>
          <w:rFonts w:cstheme="minorHAnsi"/>
          <w:b/>
          <w:bCs/>
          <w:noProof/>
          <w:sz w:val="24"/>
          <w:szCs w:val="24"/>
        </w:rPr>
      </w:pPr>
      <w:r w:rsidRPr="00956007">
        <w:rPr>
          <w:rFonts w:cstheme="minorHAnsi"/>
          <w:b/>
          <w:bCs/>
          <w:noProof/>
          <w:sz w:val="24"/>
          <w:szCs w:val="24"/>
        </w:rPr>
        <w:t xml:space="preserve">Resultados </w:t>
      </w:r>
    </w:p>
    <w:p w14:paraId="5235BB25" w14:textId="77777777" w:rsidR="00E975A6" w:rsidRPr="00956007" w:rsidRDefault="00E975A6" w:rsidP="004F3E94">
      <w:pPr>
        <w:spacing w:after="0" w:line="240" w:lineRule="auto"/>
        <w:rPr>
          <w:rFonts w:cstheme="minorHAnsi"/>
          <w:b/>
          <w:bCs/>
          <w:noProof/>
          <w:sz w:val="24"/>
          <w:szCs w:val="24"/>
        </w:rPr>
      </w:pPr>
    </w:p>
    <w:p w14:paraId="74A5AF2E" w14:textId="51C1623E" w:rsidR="00BA70BC" w:rsidRPr="00BA70BC" w:rsidRDefault="00BA70BC" w:rsidP="00BA70BC">
      <w:pPr>
        <w:spacing w:after="0" w:line="240" w:lineRule="auto"/>
        <w:jc w:val="both"/>
        <w:rPr>
          <w:rFonts w:cstheme="minorHAnsi"/>
          <w:noProof/>
          <w:sz w:val="24"/>
          <w:szCs w:val="24"/>
        </w:rPr>
      </w:pPr>
      <w:r w:rsidRPr="00BA70BC">
        <w:rPr>
          <w:rFonts w:cstheme="minorHAnsi"/>
          <w:noProof/>
          <w:sz w:val="24"/>
          <w:szCs w:val="24"/>
        </w:rPr>
        <w:t xml:space="preserve">La codificación realizada a los títulos de las ocho revistas permitieron identificar 45 categorías en el campo de la </w:t>
      </w:r>
      <w:r w:rsidR="0081080C">
        <w:rPr>
          <w:rFonts w:cstheme="minorHAnsi"/>
          <w:noProof/>
          <w:sz w:val="24"/>
          <w:szCs w:val="24"/>
        </w:rPr>
        <w:t>EE</w:t>
      </w:r>
      <w:r w:rsidRPr="00BA70BC">
        <w:rPr>
          <w:rFonts w:cstheme="minorHAnsi"/>
          <w:noProof/>
          <w:sz w:val="24"/>
          <w:szCs w:val="24"/>
        </w:rPr>
        <w:t xml:space="preserve">. Las frecuencias absolutas de citación están comprendidas en un intervalo entre 3 y 397 citaciones. </w:t>
      </w:r>
    </w:p>
    <w:p w14:paraId="133E602A" w14:textId="64328930" w:rsidR="00BA70BC" w:rsidRPr="00BA70BC" w:rsidRDefault="00BA70BC" w:rsidP="00BA70BC">
      <w:pPr>
        <w:spacing w:after="0" w:line="240" w:lineRule="auto"/>
        <w:jc w:val="both"/>
        <w:rPr>
          <w:rFonts w:cstheme="minorHAnsi"/>
          <w:noProof/>
          <w:sz w:val="24"/>
          <w:szCs w:val="24"/>
        </w:rPr>
      </w:pPr>
      <w:r w:rsidRPr="00BA70BC">
        <w:rPr>
          <w:rFonts w:cstheme="minorHAnsi"/>
          <w:noProof/>
          <w:sz w:val="24"/>
          <w:szCs w:val="24"/>
        </w:rPr>
        <w:t xml:space="preserve">Se obtuvo una red de categorías a través de Gephi en función del grado de salidas con pesos de cada uno de los nodos, como se muestra a la figura # 1. Se asoció el tamaño del nodo con el de la etiqueta correspondiente. Es por ello que en la red se observa un aumento del tamaño de las etiquetas asociado </w:t>
      </w:r>
      <w:r w:rsidR="00D92270">
        <w:rPr>
          <w:rFonts w:cstheme="minorHAnsi"/>
          <w:noProof/>
          <w:sz w:val="24"/>
          <w:szCs w:val="24"/>
        </w:rPr>
        <w:t>a</w:t>
      </w:r>
      <w:r w:rsidRPr="00BA70BC">
        <w:rPr>
          <w:rFonts w:cstheme="minorHAnsi"/>
          <w:noProof/>
          <w:sz w:val="24"/>
          <w:szCs w:val="24"/>
        </w:rPr>
        <w:t xml:space="preserve"> la frecuencia absoluta de citaciones. En color violeta están los nodos que representan las ocho revistas seleccionadas como CoP. Las dimensiones de los nodos que representan las revistas en la red son pequeños, dado que las interacciones que se visualizan en este análisis son de salida. </w:t>
      </w:r>
    </w:p>
    <w:p w14:paraId="5626034A" w14:textId="1AE71BA0" w:rsidR="00E975A6" w:rsidRDefault="00BA70BC" w:rsidP="00BA70BC">
      <w:pPr>
        <w:spacing w:after="0" w:line="240" w:lineRule="auto"/>
        <w:jc w:val="both"/>
        <w:rPr>
          <w:rFonts w:cstheme="minorHAnsi"/>
          <w:noProof/>
          <w:sz w:val="24"/>
          <w:szCs w:val="24"/>
        </w:rPr>
      </w:pPr>
      <w:r w:rsidRPr="00BA70BC">
        <w:rPr>
          <w:rFonts w:cstheme="minorHAnsi"/>
          <w:noProof/>
          <w:sz w:val="24"/>
          <w:szCs w:val="24"/>
        </w:rPr>
        <w:t xml:space="preserve">La centralidad </w:t>
      </w:r>
      <w:r w:rsidRPr="007104F9">
        <w:rPr>
          <w:rFonts w:cstheme="minorHAnsi"/>
          <w:noProof/>
          <w:sz w:val="24"/>
          <w:szCs w:val="24"/>
        </w:rPr>
        <w:t xml:space="preserve">de </w:t>
      </w:r>
      <w:r w:rsidR="007104F9" w:rsidRPr="007104F9">
        <w:rPr>
          <w:rFonts w:cstheme="minorHAnsi"/>
          <w:noProof/>
          <w:sz w:val="24"/>
          <w:szCs w:val="24"/>
        </w:rPr>
        <w:t xml:space="preserve">la </w:t>
      </w:r>
      <w:r w:rsidRPr="007104F9">
        <w:rPr>
          <w:rFonts w:cstheme="minorHAnsi"/>
          <w:noProof/>
          <w:sz w:val="24"/>
          <w:szCs w:val="24"/>
        </w:rPr>
        <w:t>red está asociada</w:t>
      </w:r>
      <w:r w:rsidRPr="00BA70BC">
        <w:rPr>
          <w:rFonts w:cstheme="minorHAnsi"/>
          <w:noProof/>
          <w:sz w:val="24"/>
          <w:szCs w:val="24"/>
        </w:rPr>
        <w:t xml:space="preserve"> al porcentaje de citaciones de las categorías didácticas, aprendizaje, TIC, psicología y ciencias básicas, competencias y habilidades blandas, por ser las más citadas. Se puede observar algunas categorías que están en la periferia de la red, lo cual significan que son los temas menos abordados en los artículos consultados. Dentro de ellos se encuentran educación a distancia, el trabajo o proyecto de grado, la extensión universit</w:t>
      </w:r>
      <w:r>
        <w:rPr>
          <w:rFonts w:cstheme="minorHAnsi"/>
          <w:noProof/>
          <w:sz w:val="24"/>
          <w:szCs w:val="24"/>
        </w:rPr>
        <w:t xml:space="preserve">aria o relación con el medio y </w:t>
      </w:r>
      <w:r w:rsidRPr="00BA70BC">
        <w:rPr>
          <w:rFonts w:cstheme="minorHAnsi"/>
          <w:noProof/>
          <w:sz w:val="24"/>
          <w:szCs w:val="24"/>
        </w:rPr>
        <w:t>espacio común de formación.</w:t>
      </w:r>
    </w:p>
    <w:p w14:paraId="3B0772F3" w14:textId="77777777" w:rsidR="00BA70BC" w:rsidRDefault="00BA70BC" w:rsidP="00BA70BC">
      <w:pPr>
        <w:spacing w:after="0" w:line="240" w:lineRule="auto"/>
        <w:jc w:val="both"/>
        <w:rPr>
          <w:rFonts w:cstheme="minorHAnsi"/>
          <w:noProof/>
          <w:sz w:val="24"/>
          <w:szCs w:val="24"/>
        </w:rPr>
      </w:pPr>
    </w:p>
    <w:p w14:paraId="27E4DD0F" w14:textId="4EB69294" w:rsidR="006A0A3C" w:rsidRDefault="006A0A3C" w:rsidP="00B60226">
      <w:pPr>
        <w:spacing w:after="0" w:line="240" w:lineRule="auto"/>
        <w:jc w:val="both"/>
        <w:rPr>
          <w:rFonts w:cstheme="minorHAnsi"/>
          <w:i/>
          <w:noProof/>
          <w:sz w:val="24"/>
          <w:szCs w:val="24"/>
        </w:rPr>
      </w:pPr>
      <w:r w:rsidRPr="006A0A3C">
        <w:rPr>
          <w:rFonts w:cstheme="minorHAnsi"/>
          <w:i/>
          <w:noProof/>
          <w:sz w:val="24"/>
          <w:szCs w:val="24"/>
        </w:rPr>
        <w:t xml:space="preserve">Figura # 1. Red de códigos de </w:t>
      </w:r>
      <w:r w:rsidR="0081080C">
        <w:rPr>
          <w:rFonts w:cstheme="minorHAnsi"/>
          <w:i/>
          <w:noProof/>
          <w:sz w:val="24"/>
          <w:szCs w:val="24"/>
        </w:rPr>
        <w:t>EE</w:t>
      </w:r>
      <w:r w:rsidRPr="006A0A3C">
        <w:rPr>
          <w:rFonts w:cstheme="minorHAnsi"/>
          <w:i/>
          <w:noProof/>
          <w:sz w:val="24"/>
          <w:szCs w:val="24"/>
        </w:rPr>
        <w:t xml:space="preserve">. </w:t>
      </w:r>
    </w:p>
    <w:p w14:paraId="5FA08D4F" w14:textId="77777777" w:rsidR="00907C44" w:rsidRPr="006A0A3C" w:rsidRDefault="00907C44" w:rsidP="00B60226">
      <w:pPr>
        <w:spacing w:after="0" w:line="240" w:lineRule="auto"/>
        <w:jc w:val="both"/>
        <w:rPr>
          <w:rFonts w:cstheme="minorHAnsi"/>
          <w:i/>
          <w:noProof/>
          <w:sz w:val="24"/>
          <w:szCs w:val="24"/>
        </w:rPr>
      </w:pPr>
    </w:p>
    <w:p w14:paraId="1C71EEDB" w14:textId="19159B5B" w:rsidR="002C1293" w:rsidRPr="00956007" w:rsidRDefault="00F27B4C" w:rsidP="00927CB3">
      <w:pPr>
        <w:spacing w:after="0" w:line="240" w:lineRule="auto"/>
        <w:jc w:val="center"/>
        <w:rPr>
          <w:rFonts w:cstheme="minorHAnsi"/>
          <w:noProof/>
          <w:sz w:val="24"/>
          <w:szCs w:val="24"/>
        </w:rPr>
      </w:pPr>
      <w:r>
        <w:rPr>
          <w:noProof/>
          <w:lang w:eastAsia="es-ES"/>
        </w:rPr>
        <w:drawing>
          <wp:inline distT="0" distB="0" distL="0" distR="0" wp14:anchorId="6CF5AEC0" wp14:editId="283DDA89">
            <wp:extent cx="5114925" cy="3844925"/>
            <wp:effectExtent l="0" t="0" r="9525" b="317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3844925"/>
                    </a:xfrm>
                    <a:prstGeom prst="rect">
                      <a:avLst/>
                    </a:prstGeom>
                    <a:noFill/>
                    <a:ln>
                      <a:noFill/>
                    </a:ln>
                  </pic:spPr>
                </pic:pic>
              </a:graphicData>
            </a:graphic>
          </wp:inline>
        </w:drawing>
      </w:r>
    </w:p>
    <w:p w14:paraId="215FE42A" w14:textId="30262613" w:rsidR="002C1293" w:rsidRPr="00956007" w:rsidRDefault="005402EF" w:rsidP="00B60226">
      <w:pPr>
        <w:spacing w:after="0" w:line="240" w:lineRule="auto"/>
        <w:jc w:val="both"/>
        <w:rPr>
          <w:rFonts w:cstheme="minorHAnsi"/>
          <w:noProof/>
          <w:sz w:val="24"/>
          <w:szCs w:val="24"/>
        </w:rPr>
      </w:pPr>
      <w:r w:rsidRPr="00956007">
        <w:rPr>
          <w:rFonts w:cstheme="minorHAnsi"/>
          <w:noProof/>
          <w:sz w:val="24"/>
          <w:szCs w:val="24"/>
        </w:rPr>
        <w:t xml:space="preserve">La interpretación de redes de códigos o de manera general de campos científicos es extremadamente </w:t>
      </w:r>
      <w:r w:rsidRPr="0064403A">
        <w:rPr>
          <w:rFonts w:cstheme="minorHAnsi"/>
          <w:noProof/>
          <w:sz w:val="24"/>
          <w:szCs w:val="24"/>
        </w:rPr>
        <w:t>compleja, ella va a depender</w:t>
      </w:r>
      <w:r w:rsidRPr="00956007">
        <w:rPr>
          <w:rFonts w:cstheme="minorHAnsi"/>
          <w:noProof/>
          <w:sz w:val="24"/>
          <w:szCs w:val="24"/>
        </w:rPr>
        <w:t xml:space="preserve"> en principio</w:t>
      </w:r>
      <w:r w:rsidR="0064403A">
        <w:rPr>
          <w:rFonts w:cstheme="minorHAnsi"/>
          <w:noProof/>
          <w:sz w:val="24"/>
          <w:szCs w:val="24"/>
        </w:rPr>
        <w:t>,</w:t>
      </w:r>
      <w:r w:rsidRPr="00956007">
        <w:rPr>
          <w:rFonts w:cstheme="minorHAnsi"/>
          <w:noProof/>
          <w:sz w:val="24"/>
          <w:szCs w:val="24"/>
        </w:rPr>
        <w:t xml:space="preserve"> de posicionamientos epistemológicos los cuales encierran ciertas subjetividades e intereses. </w:t>
      </w:r>
      <w:r w:rsidR="00F71DCA" w:rsidRPr="00956007">
        <w:rPr>
          <w:rFonts w:cstheme="minorHAnsi"/>
          <w:noProof/>
          <w:sz w:val="24"/>
          <w:szCs w:val="24"/>
        </w:rPr>
        <w:t xml:space="preserve">Es por ello que hemos dividido la interpretación de la red en dos momentos, el primero aporta un enfoque generalista y el segundo se realiza desde posicionamientos específicos. </w:t>
      </w:r>
    </w:p>
    <w:p w14:paraId="75CDF975" w14:textId="77777777" w:rsidR="004B11F2" w:rsidRDefault="004B11F2" w:rsidP="00B60226">
      <w:pPr>
        <w:spacing w:after="0" w:line="240" w:lineRule="auto"/>
        <w:jc w:val="both"/>
        <w:rPr>
          <w:rFonts w:cstheme="minorHAnsi"/>
          <w:i/>
          <w:noProof/>
          <w:sz w:val="24"/>
          <w:szCs w:val="24"/>
        </w:rPr>
      </w:pPr>
    </w:p>
    <w:p w14:paraId="72B63C81" w14:textId="7D395B54" w:rsidR="005402EF" w:rsidRDefault="005402EF" w:rsidP="00B60226">
      <w:pPr>
        <w:spacing w:after="0" w:line="240" w:lineRule="auto"/>
        <w:jc w:val="both"/>
        <w:rPr>
          <w:rFonts w:cstheme="minorHAnsi"/>
          <w:i/>
          <w:noProof/>
          <w:sz w:val="24"/>
          <w:szCs w:val="24"/>
        </w:rPr>
      </w:pPr>
      <w:r w:rsidRPr="00956007">
        <w:rPr>
          <w:rFonts w:cstheme="minorHAnsi"/>
          <w:i/>
          <w:noProof/>
          <w:sz w:val="24"/>
          <w:szCs w:val="24"/>
        </w:rPr>
        <w:t>Primera aproximación a la interpretación de la red</w:t>
      </w:r>
      <w:r w:rsidR="00733330" w:rsidRPr="00956007">
        <w:rPr>
          <w:rFonts w:cstheme="minorHAnsi"/>
          <w:i/>
          <w:noProof/>
          <w:sz w:val="24"/>
          <w:szCs w:val="24"/>
        </w:rPr>
        <w:t>: visión generalista.</w:t>
      </w:r>
    </w:p>
    <w:p w14:paraId="07317DED" w14:textId="6309F418" w:rsidR="00193995" w:rsidRPr="00193995" w:rsidRDefault="00E751E7" w:rsidP="00B60226">
      <w:pPr>
        <w:spacing w:after="0" w:line="240" w:lineRule="auto"/>
        <w:jc w:val="both"/>
        <w:rPr>
          <w:rFonts w:cstheme="minorHAnsi"/>
          <w:noProof/>
          <w:sz w:val="24"/>
          <w:szCs w:val="24"/>
        </w:rPr>
      </w:pPr>
      <w:r>
        <w:rPr>
          <w:rFonts w:cstheme="minorHAnsi"/>
          <w:noProof/>
          <w:sz w:val="24"/>
          <w:szCs w:val="24"/>
        </w:rPr>
        <w:t>Las</w:t>
      </w:r>
      <w:r w:rsidR="00193995" w:rsidRPr="00193995">
        <w:rPr>
          <w:rFonts w:cstheme="minorHAnsi"/>
          <w:noProof/>
          <w:sz w:val="24"/>
          <w:szCs w:val="24"/>
        </w:rPr>
        <w:t xml:space="preserve"> categorías didáctica, aprendizaje, TIC, psicología y ciencias básicas, competencias y habilidades blandas, acaparan el 48,4% de las citaciones. Teniendo en común su presencia en todas las CoP y guardando el mismo orden de jerarquía en cada CoP. El hecho de que exista una alta representatividad de trabajos de didáctica en el campo de la </w:t>
      </w:r>
      <w:r w:rsidR="0081080C">
        <w:rPr>
          <w:rFonts w:cstheme="minorHAnsi"/>
          <w:noProof/>
          <w:sz w:val="24"/>
          <w:szCs w:val="24"/>
        </w:rPr>
        <w:t>EE</w:t>
      </w:r>
      <w:r w:rsidR="00193995" w:rsidRPr="00193995">
        <w:rPr>
          <w:rFonts w:cstheme="minorHAnsi"/>
          <w:noProof/>
          <w:sz w:val="24"/>
          <w:szCs w:val="24"/>
        </w:rPr>
        <w:t xml:space="preserve"> tiene su justificación dado por el lugar que ocupa como ciencia del proceso de enseñanza aprendizaje (León &amp; Herrera 2014), así como la comprensión por parte de los cuerpos académicos de la importancia de investigar sus propias prácticas y realizar un perfeccionamiento constante de este proceso. La categoría didáctica está representada en 397 artículos, en una amplia diversidad de temas. Se puede asegurar que, con sus particularidades propias, existe cierto paralelo en objetos de investigación de la didáctica general, las didácticas de las ciencias sociales y otras didácticas específicas, lo cual es legítimo dada la relación que se da entre la didáctica general y las didáctica</w:t>
      </w:r>
      <w:r w:rsidR="006F71F3">
        <w:rPr>
          <w:rFonts w:cstheme="minorHAnsi"/>
          <w:noProof/>
          <w:sz w:val="24"/>
          <w:szCs w:val="24"/>
        </w:rPr>
        <w:t>s específicas (</w:t>
      </w:r>
      <w:r w:rsidR="00193995" w:rsidRPr="00193995">
        <w:rPr>
          <w:rFonts w:cstheme="minorHAnsi"/>
          <w:noProof/>
          <w:sz w:val="24"/>
          <w:szCs w:val="24"/>
        </w:rPr>
        <w:t>Gutiérrez et al. 2017). Dentro de este campo se observa un creciente número de artículos vinculados al empleo de las TIC y los entornos virtuales de aprendizaje, los métodos activos, el aprendizaje basado en problemas (problem-based learning) y la enseñanza basada en proyectos (project-based learning, PBL), el apego a enfoques y prácticas didácticas antropocéntricas, donde el alumno es el centro del proceso.</w:t>
      </w:r>
    </w:p>
    <w:p w14:paraId="5B4278A4" w14:textId="795EFF94" w:rsidR="00193995" w:rsidRPr="00193995" w:rsidRDefault="00193995" w:rsidP="00193995">
      <w:pPr>
        <w:spacing w:after="0" w:line="240" w:lineRule="auto"/>
        <w:jc w:val="both"/>
        <w:rPr>
          <w:rFonts w:cstheme="minorHAnsi"/>
          <w:noProof/>
          <w:sz w:val="24"/>
          <w:szCs w:val="24"/>
        </w:rPr>
      </w:pPr>
      <w:r w:rsidRPr="00193995">
        <w:rPr>
          <w:rFonts w:cstheme="minorHAnsi"/>
          <w:noProof/>
          <w:sz w:val="24"/>
          <w:szCs w:val="24"/>
        </w:rPr>
        <w:t xml:space="preserve">Las Ciencias Básicas se mantienen como uno de los campos de mayor tradición en la </w:t>
      </w:r>
      <w:r w:rsidR="0081080C">
        <w:rPr>
          <w:rFonts w:cstheme="minorHAnsi"/>
          <w:noProof/>
          <w:sz w:val="24"/>
          <w:szCs w:val="24"/>
        </w:rPr>
        <w:t>EE</w:t>
      </w:r>
      <w:r w:rsidRPr="00193995">
        <w:rPr>
          <w:rFonts w:cstheme="minorHAnsi"/>
          <w:noProof/>
          <w:sz w:val="24"/>
          <w:szCs w:val="24"/>
        </w:rPr>
        <w:t xml:space="preserve">, el cual tiene su génesis en el reconocimiento de la ingeniería como una profesión que aplica estos conocimientos en la solución de problemáticas.  </w:t>
      </w:r>
    </w:p>
    <w:p w14:paraId="475FFB72" w14:textId="77777777" w:rsidR="00193995" w:rsidRPr="00193995" w:rsidRDefault="00193995" w:rsidP="00193995">
      <w:pPr>
        <w:spacing w:after="0" w:line="240" w:lineRule="auto"/>
        <w:jc w:val="both"/>
        <w:rPr>
          <w:rFonts w:cstheme="minorHAnsi"/>
          <w:noProof/>
          <w:sz w:val="24"/>
          <w:szCs w:val="24"/>
        </w:rPr>
      </w:pPr>
      <w:r w:rsidRPr="00193995">
        <w:rPr>
          <w:rFonts w:cstheme="minorHAnsi"/>
          <w:noProof/>
          <w:sz w:val="24"/>
          <w:szCs w:val="24"/>
        </w:rPr>
        <w:t xml:space="preserve">Al hacer una mirada al tema de las TIC la producción científica está alineada en sus dos vertientes, como recurso didáctico y como objeto de aprendizaje vinculada a herramientas de uso profesional en el campo de las ingenierías, particularmente el software. Existe una práctica educativa en TIC que se consolida y muestra una constante introducción de este objeto en diversos campos de investigación. Dentro de ello destacan el diseño de modalidades de formación on line e híbridas, el aprendizaje de competencias digitales genéricas y de tipo específicas en el uso de software con fines profesionales, el empleo de plataformas virtuales y simuladores con carácter demostrativo y en actividades de laboratorios. </w:t>
      </w:r>
    </w:p>
    <w:p w14:paraId="501CDEAD" w14:textId="77777777" w:rsidR="00193995" w:rsidRPr="00193995" w:rsidRDefault="00193995" w:rsidP="00193995">
      <w:pPr>
        <w:spacing w:after="0" w:line="240" w:lineRule="auto"/>
        <w:jc w:val="both"/>
        <w:rPr>
          <w:rFonts w:cstheme="minorHAnsi"/>
          <w:noProof/>
          <w:sz w:val="24"/>
          <w:szCs w:val="24"/>
        </w:rPr>
      </w:pPr>
      <w:r w:rsidRPr="00193995">
        <w:rPr>
          <w:rFonts w:cstheme="minorHAnsi"/>
          <w:noProof/>
          <w:sz w:val="24"/>
          <w:szCs w:val="24"/>
        </w:rPr>
        <w:t xml:space="preserve">Se evidencia el creciente esfuerzo por realizar investigaciones en el campo de la psicología educativa lo cual es un indicador de la comprensión y práctica de una docencia que se afianza cada día más en el empleo de campos vecinos que obran como fundamentos. En este orden nos parece oportuno destacar el interés de los docentes por la realización de estudios de percepción como herramienta para la toma de decisiones pedagógicas, así como de los procesos de motivación. </w:t>
      </w:r>
    </w:p>
    <w:p w14:paraId="13A71CCD" w14:textId="77777777" w:rsidR="00193995" w:rsidRPr="00193995" w:rsidRDefault="00193995" w:rsidP="00193995">
      <w:pPr>
        <w:spacing w:after="0" w:line="240" w:lineRule="auto"/>
        <w:jc w:val="both"/>
        <w:rPr>
          <w:rFonts w:cstheme="minorHAnsi"/>
          <w:noProof/>
          <w:sz w:val="24"/>
          <w:szCs w:val="24"/>
        </w:rPr>
      </w:pPr>
      <w:r w:rsidRPr="00193995">
        <w:rPr>
          <w:rFonts w:cstheme="minorHAnsi"/>
          <w:noProof/>
          <w:sz w:val="24"/>
          <w:szCs w:val="24"/>
        </w:rPr>
        <w:t xml:space="preserve">Existe un conjunto de nodos que se encuentran en la periferia de la red lo cual significa que son los de más baja frecuencia absoluta de citación, dentro de ellos están: educación a distancia, trabajo de grado, extensión universitaria y espacio común de formación. Lo cual significa que son los temas con menor cantidad de artículos socializados. De las 45 categorías citadas 20 de ellas poseen presencia todas las revistas, en tanto 25 categorías no han tenido representatividad en todas las revistas.  </w:t>
      </w:r>
    </w:p>
    <w:p w14:paraId="2398C5E7" w14:textId="1DDC9566" w:rsidR="00193995" w:rsidRPr="00956007" w:rsidRDefault="00193995" w:rsidP="00193995">
      <w:pPr>
        <w:spacing w:after="0" w:line="240" w:lineRule="auto"/>
        <w:jc w:val="both"/>
        <w:rPr>
          <w:rFonts w:cstheme="minorHAnsi"/>
          <w:noProof/>
          <w:sz w:val="24"/>
          <w:szCs w:val="24"/>
        </w:rPr>
      </w:pPr>
      <w:r w:rsidRPr="00193995">
        <w:rPr>
          <w:rFonts w:cstheme="minorHAnsi"/>
          <w:noProof/>
          <w:sz w:val="24"/>
          <w:szCs w:val="24"/>
        </w:rPr>
        <w:t>La figura # 2 muestra el comportamiento de las 25 categorías que no han tenido representatividad en todas las comunidades de prácticas en el intervalo estudiado.</w:t>
      </w:r>
    </w:p>
    <w:p w14:paraId="10025A1D" w14:textId="1A5548AF" w:rsidR="00DD2429" w:rsidRDefault="00DD2429" w:rsidP="00216578">
      <w:pPr>
        <w:spacing w:after="0" w:line="240" w:lineRule="auto"/>
        <w:jc w:val="both"/>
        <w:rPr>
          <w:rFonts w:cstheme="minorHAnsi"/>
          <w:noProof/>
          <w:sz w:val="24"/>
          <w:szCs w:val="24"/>
        </w:rPr>
      </w:pPr>
    </w:p>
    <w:p w14:paraId="54D22695" w14:textId="1D1F0722" w:rsidR="00B3522B" w:rsidRDefault="00B3522B" w:rsidP="00216578">
      <w:pPr>
        <w:spacing w:after="0" w:line="240" w:lineRule="auto"/>
        <w:jc w:val="both"/>
        <w:rPr>
          <w:rFonts w:cstheme="minorHAnsi"/>
          <w:noProof/>
          <w:sz w:val="24"/>
          <w:szCs w:val="24"/>
        </w:rPr>
      </w:pPr>
    </w:p>
    <w:p w14:paraId="4A61777F" w14:textId="18321C4E" w:rsidR="00B3522B" w:rsidRDefault="00B3522B" w:rsidP="00216578">
      <w:pPr>
        <w:spacing w:after="0" w:line="240" w:lineRule="auto"/>
        <w:jc w:val="both"/>
        <w:rPr>
          <w:rFonts w:cstheme="minorHAnsi"/>
          <w:noProof/>
          <w:sz w:val="24"/>
          <w:szCs w:val="24"/>
        </w:rPr>
      </w:pPr>
    </w:p>
    <w:p w14:paraId="557495A8" w14:textId="77777777" w:rsidR="00B3522B" w:rsidRDefault="00B3522B" w:rsidP="00216578">
      <w:pPr>
        <w:spacing w:after="0" w:line="240" w:lineRule="auto"/>
        <w:jc w:val="both"/>
        <w:rPr>
          <w:rFonts w:cstheme="minorHAnsi"/>
          <w:noProof/>
          <w:sz w:val="24"/>
          <w:szCs w:val="24"/>
        </w:rPr>
      </w:pPr>
    </w:p>
    <w:p w14:paraId="6A437097" w14:textId="605A240A" w:rsidR="006D5342" w:rsidRDefault="00861E9B" w:rsidP="00216578">
      <w:pPr>
        <w:spacing w:after="0" w:line="240" w:lineRule="auto"/>
        <w:jc w:val="both"/>
        <w:rPr>
          <w:rFonts w:cstheme="minorHAnsi"/>
          <w:noProof/>
          <w:sz w:val="24"/>
          <w:szCs w:val="24"/>
        </w:rPr>
      </w:pPr>
      <w:r>
        <w:rPr>
          <w:rFonts w:cstheme="minorHAnsi"/>
          <w:noProof/>
          <w:sz w:val="24"/>
          <w:szCs w:val="24"/>
        </w:rPr>
        <w:lastRenderedPageBreak/>
        <w:t>Figura # 2 Comportam</w:t>
      </w:r>
      <w:r w:rsidR="006D5342">
        <w:rPr>
          <w:rFonts w:cstheme="minorHAnsi"/>
          <w:noProof/>
          <w:sz w:val="24"/>
          <w:szCs w:val="24"/>
        </w:rPr>
        <w:t>i</w:t>
      </w:r>
      <w:r w:rsidR="00BB468D">
        <w:rPr>
          <w:rFonts w:cstheme="minorHAnsi"/>
          <w:noProof/>
          <w:sz w:val="24"/>
          <w:szCs w:val="24"/>
        </w:rPr>
        <w:t>e</w:t>
      </w:r>
      <w:r w:rsidR="006D5342">
        <w:rPr>
          <w:rFonts w:cstheme="minorHAnsi"/>
          <w:noProof/>
          <w:sz w:val="24"/>
          <w:szCs w:val="24"/>
        </w:rPr>
        <w:t xml:space="preserve">nto </w:t>
      </w:r>
      <w:r w:rsidR="0031648C">
        <w:rPr>
          <w:rFonts w:cstheme="minorHAnsi"/>
          <w:noProof/>
          <w:sz w:val="24"/>
          <w:szCs w:val="24"/>
        </w:rPr>
        <w:t xml:space="preserve">del </w:t>
      </w:r>
      <w:r w:rsidR="006D5342">
        <w:rPr>
          <w:rFonts w:cstheme="minorHAnsi"/>
          <w:noProof/>
          <w:sz w:val="24"/>
          <w:szCs w:val="24"/>
        </w:rPr>
        <w:t xml:space="preserve">indicador presencia/ausencia de las categorías </w:t>
      </w:r>
    </w:p>
    <w:p w14:paraId="7D257C01" w14:textId="2213338B" w:rsidR="007A6A7C" w:rsidRDefault="007A6A7C" w:rsidP="00216578">
      <w:pPr>
        <w:spacing w:after="0" w:line="240" w:lineRule="auto"/>
        <w:jc w:val="both"/>
        <w:rPr>
          <w:rFonts w:cstheme="minorHAnsi"/>
          <w:noProof/>
          <w:sz w:val="24"/>
          <w:szCs w:val="24"/>
        </w:rPr>
      </w:pPr>
    </w:p>
    <w:p w14:paraId="55AD14AA" w14:textId="66B62A80" w:rsidR="007A6A7C" w:rsidRDefault="007A6A7C" w:rsidP="007A6A7C">
      <w:pPr>
        <w:spacing w:after="0" w:line="240" w:lineRule="auto"/>
        <w:jc w:val="center"/>
        <w:rPr>
          <w:rFonts w:cstheme="minorHAnsi"/>
          <w:noProof/>
          <w:sz w:val="24"/>
          <w:szCs w:val="24"/>
        </w:rPr>
      </w:pPr>
      <w:r>
        <w:rPr>
          <w:noProof/>
          <w:lang w:eastAsia="es-ES"/>
        </w:rPr>
        <w:drawing>
          <wp:inline distT="0" distB="0" distL="0" distR="0" wp14:anchorId="75896C5B" wp14:editId="354AF08B">
            <wp:extent cx="4572000" cy="53530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40ACAD" w14:textId="16FAE35C" w:rsidR="00907C44" w:rsidRDefault="00907C44" w:rsidP="00F27B4C">
      <w:pPr>
        <w:spacing w:after="0" w:line="240" w:lineRule="auto"/>
        <w:jc w:val="center"/>
        <w:rPr>
          <w:rFonts w:cstheme="minorHAnsi"/>
          <w:noProof/>
          <w:sz w:val="24"/>
          <w:szCs w:val="24"/>
        </w:rPr>
      </w:pPr>
    </w:p>
    <w:p w14:paraId="4C314EBF" w14:textId="362D50C6" w:rsidR="0055478B" w:rsidRDefault="0055478B" w:rsidP="0055478B">
      <w:pPr>
        <w:spacing w:after="0" w:line="240" w:lineRule="auto"/>
        <w:jc w:val="center"/>
        <w:rPr>
          <w:rFonts w:cstheme="minorHAnsi"/>
          <w:noProof/>
          <w:sz w:val="24"/>
          <w:szCs w:val="24"/>
        </w:rPr>
      </w:pPr>
    </w:p>
    <w:p w14:paraId="5C4D08BA" w14:textId="77777777" w:rsidR="006D5342" w:rsidRDefault="006D5342" w:rsidP="00216578">
      <w:pPr>
        <w:spacing w:after="0" w:line="240" w:lineRule="auto"/>
        <w:jc w:val="both"/>
        <w:rPr>
          <w:rFonts w:cstheme="minorHAnsi"/>
          <w:i/>
          <w:noProof/>
          <w:sz w:val="24"/>
          <w:szCs w:val="24"/>
        </w:rPr>
      </w:pPr>
    </w:p>
    <w:p w14:paraId="22B8E267" w14:textId="0BABE3C1" w:rsidR="00216578" w:rsidRPr="00956007" w:rsidRDefault="00034FC9" w:rsidP="00216578">
      <w:pPr>
        <w:spacing w:after="0" w:line="240" w:lineRule="auto"/>
        <w:jc w:val="both"/>
        <w:rPr>
          <w:rFonts w:cstheme="minorHAnsi"/>
          <w:i/>
          <w:noProof/>
          <w:sz w:val="24"/>
          <w:szCs w:val="24"/>
        </w:rPr>
      </w:pPr>
      <w:r w:rsidRPr="00956007">
        <w:rPr>
          <w:rFonts w:cstheme="minorHAnsi"/>
          <w:i/>
          <w:noProof/>
          <w:sz w:val="24"/>
          <w:szCs w:val="24"/>
        </w:rPr>
        <w:t>Una segunda aproximación a la red: posicionamientos específicos.</w:t>
      </w:r>
    </w:p>
    <w:p w14:paraId="577BD85B" w14:textId="080D9C21" w:rsidR="00F13153" w:rsidRPr="00956007" w:rsidRDefault="00F13153" w:rsidP="004F3E94">
      <w:pPr>
        <w:spacing w:after="0" w:line="240" w:lineRule="auto"/>
        <w:rPr>
          <w:rFonts w:cstheme="minorHAnsi"/>
          <w:noProof/>
          <w:sz w:val="24"/>
          <w:szCs w:val="24"/>
        </w:rPr>
      </w:pPr>
    </w:p>
    <w:p w14:paraId="0D2B63FA" w14:textId="360CE5D5" w:rsidR="00033B59" w:rsidRDefault="00033B59" w:rsidP="004F3E94">
      <w:pPr>
        <w:spacing w:after="0" w:line="240" w:lineRule="auto"/>
        <w:rPr>
          <w:rFonts w:cstheme="minorHAnsi"/>
          <w:noProof/>
          <w:sz w:val="24"/>
          <w:szCs w:val="24"/>
        </w:rPr>
      </w:pPr>
      <w:r w:rsidRPr="00956007">
        <w:rPr>
          <w:rFonts w:cstheme="minorHAnsi"/>
          <w:noProof/>
          <w:sz w:val="24"/>
          <w:szCs w:val="24"/>
        </w:rPr>
        <w:t xml:space="preserve">Mirada desde el prisma de la formación continua. </w:t>
      </w:r>
    </w:p>
    <w:p w14:paraId="27D9FE63" w14:textId="33433D22" w:rsidR="002F375A" w:rsidRPr="007C46D2" w:rsidRDefault="00F745F9" w:rsidP="00F745F9">
      <w:pPr>
        <w:spacing w:after="0" w:line="240" w:lineRule="auto"/>
        <w:jc w:val="both"/>
        <w:rPr>
          <w:rFonts w:cstheme="minorHAnsi"/>
          <w:color w:val="222222"/>
          <w:sz w:val="24"/>
          <w:szCs w:val="24"/>
          <w:shd w:val="clear" w:color="auto" w:fill="FFFFFF"/>
        </w:rPr>
      </w:pPr>
      <w:r w:rsidRPr="007C46D2">
        <w:rPr>
          <w:rFonts w:cstheme="minorHAnsi"/>
          <w:noProof/>
          <w:sz w:val="24"/>
          <w:szCs w:val="24"/>
        </w:rPr>
        <w:t xml:space="preserve">Los enfoque de la formación continua aseguran que la formación de grado es un peldaño intermedio donde se adquierren un conjunto de competencias que le permiten al egresado realizar con éxito </w:t>
      </w:r>
      <w:r w:rsidR="0004124D" w:rsidRPr="007C46D2">
        <w:rPr>
          <w:rFonts w:cstheme="minorHAnsi"/>
          <w:noProof/>
          <w:sz w:val="24"/>
          <w:szCs w:val="24"/>
        </w:rPr>
        <w:t>sus tareas profesionales. Estos saberes deben ser enriquecidos</w:t>
      </w:r>
      <w:r w:rsidRPr="007C46D2">
        <w:rPr>
          <w:rFonts w:cstheme="minorHAnsi"/>
          <w:noProof/>
          <w:sz w:val="24"/>
          <w:szCs w:val="24"/>
        </w:rPr>
        <w:t xml:space="preserve"> </w:t>
      </w:r>
      <w:r w:rsidR="0004124D" w:rsidRPr="007C46D2">
        <w:rPr>
          <w:rFonts w:cstheme="minorHAnsi"/>
          <w:noProof/>
          <w:sz w:val="24"/>
          <w:szCs w:val="24"/>
        </w:rPr>
        <w:t>en</w:t>
      </w:r>
      <w:r w:rsidRPr="007C46D2">
        <w:rPr>
          <w:rFonts w:cstheme="minorHAnsi"/>
          <w:noProof/>
          <w:sz w:val="24"/>
          <w:szCs w:val="24"/>
        </w:rPr>
        <w:t xml:space="preserve"> procesos de especilización y superación profesional (cursos, entrenamientos, diplomados, maestrías y estudios doctorales) </w:t>
      </w:r>
      <w:r w:rsidR="0004124D" w:rsidRPr="007C46D2">
        <w:rPr>
          <w:rFonts w:cstheme="minorHAnsi"/>
          <w:noProof/>
          <w:sz w:val="24"/>
          <w:szCs w:val="24"/>
        </w:rPr>
        <w:t xml:space="preserve">dado que portan atibutos profesionales </w:t>
      </w:r>
      <w:r w:rsidR="001F7089" w:rsidRPr="007C46D2">
        <w:rPr>
          <w:rFonts w:cstheme="minorHAnsi"/>
          <w:noProof/>
          <w:sz w:val="24"/>
          <w:szCs w:val="24"/>
        </w:rPr>
        <w:t xml:space="preserve">en un mundo cambiante </w:t>
      </w:r>
      <w:r w:rsidR="0004124D" w:rsidRPr="007C46D2">
        <w:rPr>
          <w:rFonts w:cstheme="minorHAnsi"/>
          <w:noProof/>
          <w:sz w:val="24"/>
          <w:szCs w:val="24"/>
        </w:rPr>
        <w:t>que catalizan su desempeño impactanto positivamente en los resultados de sus organizaciones</w:t>
      </w:r>
      <w:r w:rsidR="00B07504" w:rsidRPr="007C46D2">
        <w:rPr>
          <w:rFonts w:cstheme="minorHAnsi"/>
          <w:noProof/>
          <w:sz w:val="24"/>
          <w:szCs w:val="24"/>
        </w:rPr>
        <w:t xml:space="preserve"> </w:t>
      </w:r>
      <w:r w:rsidR="0004124D" w:rsidRPr="007C46D2">
        <w:rPr>
          <w:rFonts w:cstheme="minorHAnsi"/>
          <w:noProof/>
          <w:sz w:val="24"/>
          <w:szCs w:val="24"/>
        </w:rPr>
        <w:t>(</w:t>
      </w:r>
      <w:r w:rsidR="001C7011">
        <w:rPr>
          <w:rFonts w:cstheme="minorHAnsi"/>
          <w:color w:val="222222"/>
          <w:sz w:val="24"/>
          <w:szCs w:val="24"/>
          <w:shd w:val="clear" w:color="auto" w:fill="FFFFFF"/>
        </w:rPr>
        <w:t>Celis &amp; Duque</w:t>
      </w:r>
      <w:r w:rsidR="0004124D" w:rsidRPr="007C46D2">
        <w:rPr>
          <w:rFonts w:cstheme="minorHAnsi"/>
          <w:color w:val="222222"/>
          <w:sz w:val="24"/>
          <w:szCs w:val="24"/>
          <w:shd w:val="clear" w:color="auto" w:fill="FFFFFF"/>
        </w:rPr>
        <w:t xml:space="preserve"> 2016)</w:t>
      </w:r>
      <w:r w:rsidR="00F85FF0" w:rsidRPr="007C46D2">
        <w:rPr>
          <w:rFonts w:cstheme="minorHAnsi"/>
          <w:color w:val="222222"/>
          <w:sz w:val="24"/>
          <w:szCs w:val="24"/>
          <w:shd w:val="clear" w:color="auto" w:fill="FFFFFF"/>
        </w:rPr>
        <w:t xml:space="preserve">. Dado este parecer que es aceptado en las comunidades académicas de las ingenierías </w:t>
      </w:r>
      <w:r w:rsidR="00295EF4" w:rsidRPr="007C46D2">
        <w:rPr>
          <w:rFonts w:cstheme="minorHAnsi"/>
          <w:color w:val="222222"/>
          <w:sz w:val="24"/>
          <w:szCs w:val="24"/>
          <w:shd w:val="clear" w:color="auto" w:fill="FFFFFF"/>
        </w:rPr>
        <w:t xml:space="preserve">y en la formación de profesionales en general, consideramos </w:t>
      </w:r>
      <w:r w:rsidR="001F7089" w:rsidRPr="007C46D2">
        <w:rPr>
          <w:rFonts w:cstheme="minorHAnsi"/>
          <w:color w:val="222222"/>
          <w:sz w:val="24"/>
          <w:szCs w:val="24"/>
          <w:shd w:val="clear" w:color="auto" w:fill="FFFFFF"/>
        </w:rPr>
        <w:t>es reducida la representatividad</w:t>
      </w:r>
      <w:r w:rsidR="00216397">
        <w:rPr>
          <w:rFonts w:cstheme="minorHAnsi"/>
          <w:color w:val="222222"/>
          <w:sz w:val="24"/>
          <w:szCs w:val="24"/>
          <w:shd w:val="clear" w:color="auto" w:fill="FFFFFF"/>
        </w:rPr>
        <w:t xml:space="preserve">, solo acumula el 1% de los artículos publicados en la etapa investigada.  </w:t>
      </w:r>
      <w:r w:rsidR="001F7089" w:rsidRPr="007C46D2">
        <w:rPr>
          <w:rFonts w:cstheme="minorHAnsi"/>
          <w:color w:val="222222"/>
          <w:sz w:val="24"/>
          <w:szCs w:val="24"/>
          <w:shd w:val="clear" w:color="auto" w:fill="FFFFFF"/>
        </w:rPr>
        <w:t xml:space="preserve">  </w:t>
      </w:r>
      <w:r w:rsidR="00295EF4" w:rsidRPr="007C46D2">
        <w:rPr>
          <w:rFonts w:cstheme="minorHAnsi"/>
          <w:color w:val="222222"/>
          <w:sz w:val="24"/>
          <w:szCs w:val="24"/>
          <w:shd w:val="clear" w:color="auto" w:fill="FFFFFF"/>
        </w:rPr>
        <w:t xml:space="preserve"> </w:t>
      </w:r>
    </w:p>
    <w:p w14:paraId="775F081F" w14:textId="33A73FEB" w:rsidR="000B66A7" w:rsidRDefault="000B66A7" w:rsidP="00F745F9">
      <w:pPr>
        <w:spacing w:after="0" w:line="240" w:lineRule="auto"/>
        <w:jc w:val="both"/>
        <w:rPr>
          <w:rFonts w:asciiTheme="majorHAnsi" w:hAnsiTheme="majorHAnsi" w:cstheme="majorHAnsi"/>
          <w:color w:val="222222"/>
          <w:sz w:val="24"/>
          <w:szCs w:val="24"/>
          <w:shd w:val="clear" w:color="auto" w:fill="FFFFFF"/>
        </w:rPr>
      </w:pPr>
    </w:p>
    <w:p w14:paraId="75C64B13" w14:textId="7B156DEB" w:rsidR="00033B59" w:rsidRDefault="00033B59" w:rsidP="00042CD1">
      <w:pPr>
        <w:spacing w:after="0" w:line="240" w:lineRule="auto"/>
        <w:jc w:val="both"/>
        <w:rPr>
          <w:rFonts w:cstheme="minorHAnsi"/>
          <w:noProof/>
          <w:sz w:val="24"/>
          <w:szCs w:val="24"/>
        </w:rPr>
      </w:pPr>
      <w:r w:rsidRPr="00956007">
        <w:rPr>
          <w:rFonts w:cstheme="minorHAnsi"/>
          <w:noProof/>
          <w:sz w:val="24"/>
          <w:szCs w:val="24"/>
        </w:rPr>
        <w:t>Mirada desde la red de actores que participan en el proceso de formación.</w:t>
      </w:r>
    </w:p>
    <w:p w14:paraId="63E872B6" w14:textId="34D077EC" w:rsidR="006C05E6" w:rsidRPr="006C05E6" w:rsidRDefault="003150F3" w:rsidP="006C05E6">
      <w:pPr>
        <w:spacing w:after="0" w:line="240" w:lineRule="auto"/>
        <w:jc w:val="both"/>
        <w:rPr>
          <w:rFonts w:cstheme="minorHAnsi"/>
          <w:noProof/>
          <w:sz w:val="24"/>
          <w:szCs w:val="24"/>
        </w:rPr>
      </w:pPr>
      <w:r>
        <w:rPr>
          <w:rFonts w:cstheme="minorHAnsi"/>
          <w:noProof/>
          <w:sz w:val="24"/>
          <w:szCs w:val="24"/>
        </w:rPr>
        <w:lastRenderedPageBreak/>
        <w:t>La red desde el</w:t>
      </w:r>
      <w:r w:rsidR="006C05E6" w:rsidRPr="006C05E6">
        <w:rPr>
          <w:rFonts w:cstheme="minorHAnsi"/>
          <w:noProof/>
          <w:sz w:val="24"/>
          <w:szCs w:val="24"/>
        </w:rPr>
        <w:t xml:space="preserve"> prisma de la formación continua. </w:t>
      </w:r>
    </w:p>
    <w:p w14:paraId="67859A37" w14:textId="77777777" w:rsidR="006C05E6" w:rsidRPr="006C05E6" w:rsidRDefault="006C05E6" w:rsidP="006C05E6">
      <w:pPr>
        <w:spacing w:after="0" w:line="240" w:lineRule="auto"/>
        <w:jc w:val="both"/>
        <w:rPr>
          <w:rFonts w:cstheme="minorHAnsi"/>
          <w:noProof/>
          <w:sz w:val="24"/>
          <w:szCs w:val="24"/>
        </w:rPr>
      </w:pPr>
      <w:r w:rsidRPr="006C05E6">
        <w:rPr>
          <w:rFonts w:cstheme="minorHAnsi"/>
          <w:noProof/>
          <w:sz w:val="24"/>
          <w:szCs w:val="24"/>
        </w:rPr>
        <w:t xml:space="preserve">Los enfoque de la formación continua aseguran que la formación de grado es un peldaño intermedio donde se adquiere un conjunto de competencias que le permiten al egresado realizar con éxito sus tareas profesionales. Estos saberes deben ser enriquecidos en procesos de especialización y superación profesional (cursos, entrenamientos, diplomados, maestrías y estudios doctorales) dado que portan atributos profesionales en un mundo cambiante que catalizan su desempeño impactando positivamente en los resultados de sus organizaciones (Celis &amp; Duque 2016). Dado este parecer que es aceptado en las comunidades académicas de las ingenierías y en la formación de profesionales en general, consideramos es reducida la representatividad, solo acumula el 1% de los artículos publicados en la etapa investigada. </w:t>
      </w:r>
    </w:p>
    <w:p w14:paraId="0B7A119E" w14:textId="77777777" w:rsidR="006C05E6" w:rsidRPr="006C05E6" w:rsidRDefault="006C05E6" w:rsidP="006C05E6">
      <w:pPr>
        <w:spacing w:after="0" w:line="240" w:lineRule="auto"/>
        <w:jc w:val="both"/>
        <w:rPr>
          <w:rFonts w:cstheme="minorHAnsi"/>
          <w:noProof/>
          <w:sz w:val="24"/>
          <w:szCs w:val="24"/>
        </w:rPr>
      </w:pPr>
    </w:p>
    <w:p w14:paraId="04D472B1" w14:textId="77777777" w:rsidR="006C05E6" w:rsidRPr="006C05E6" w:rsidRDefault="006C05E6" w:rsidP="006C05E6">
      <w:pPr>
        <w:spacing w:after="0" w:line="240" w:lineRule="auto"/>
        <w:jc w:val="both"/>
        <w:rPr>
          <w:rFonts w:cstheme="minorHAnsi"/>
          <w:noProof/>
          <w:sz w:val="24"/>
          <w:szCs w:val="24"/>
        </w:rPr>
      </w:pPr>
      <w:r w:rsidRPr="006C05E6">
        <w:rPr>
          <w:rFonts w:cstheme="minorHAnsi"/>
          <w:noProof/>
          <w:sz w:val="24"/>
          <w:szCs w:val="24"/>
        </w:rPr>
        <w:t>Mirada desde la red de actores que participan en el proceso de formación.</w:t>
      </w:r>
    </w:p>
    <w:p w14:paraId="6540ADD1" w14:textId="77777777" w:rsidR="006C05E6" w:rsidRPr="006C05E6" w:rsidRDefault="006C05E6" w:rsidP="006C05E6">
      <w:pPr>
        <w:spacing w:after="0" w:line="240" w:lineRule="auto"/>
        <w:jc w:val="both"/>
        <w:rPr>
          <w:rFonts w:cstheme="minorHAnsi"/>
          <w:noProof/>
          <w:sz w:val="24"/>
          <w:szCs w:val="24"/>
        </w:rPr>
      </w:pPr>
    </w:p>
    <w:p w14:paraId="5B5AE1BB" w14:textId="77777777" w:rsidR="006C05E6" w:rsidRPr="006C05E6" w:rsidRDefault="006C05E6" w:rsidP="006C05E6">
      <w:pPr>
        <w:spacing w:after="0" w:line="240" w:lineRule="auto"/>
        <w:jc w:val="both"/>
        <w:rPr>
          <w:rFonts w:cstheme="minorHAnsi"/>
          <w:noProof/>
          <w:sz w:val="24"/>
          <w:szCs w:val="24"/>
        </w:rPr>
      </w:pPr>
      <w:r w:rsidRPr="006C05E6">
        <w:rPr>
          <w:rFonts w:cstheme="minorHAnsi"/>
          <w:noProof/>
          <w:sz w:val="24"/>
          <w:szCs w:val="24"/>
        </w:rPr>
        <w:t xml:space="preserve">La formación de ingenieros se da en la sinergia de las interacciones entre un número amplio de actores claves “stake-holders”, empleadores, asociaciones profesionales, cuerpos académicos, estudiantes, ONG´s, entro otros tantos (Luchini, Colbry, Rojewski, &amp; Briliyanti, 2019). Los modelos educativos en ingeniería convergen en la integración de escenarios de formación, el universitario, la empresa, la industria y escenarios sociales abiertos (Abele, 2015). Por lo que arribamos a la conclusión que es reducido el número de artículos que abordan estas temáticas. </w:t>
      </w:r>
    </w:p>
    <w:p w14:paraId="4892B07B" w14:textId="77777777" w:rsidR="006C05E6" w:rsidRPr="006C05E6" w:rsidRDefault="006C05E6" w:rsidP="006C05E6">
      <w:pPr>
        <w:spacing w:after="0" w:line="240" w:lineRule="auto"/>
        <w:jc w:val="both"/>
        <w:rPr>
          <w:rFonts w:cstheme="minorHAnsi"/>
          <w:noProof/>
          <w:sz w:val="24"/>
          <w:szCs w:val="24"/>
        </w:rPr>
      </w:pPr>
    </w:p>
    <w:p w14:paraId="2E1D60CC" w14:textId="77777777" w:rsidR="006C05E6" w:rsidRPr="006C05E6" w:rsidRDefault="006C05E6" w:rsidP="006C05E6">
      <w:pPr>
        <w:spacing w:after="0" w:line="240" w:lineRule="auto"/>
        <w:jc w:val="both"/>
        <w:rPr>
          <w:rFonts w:cstheme="minorHAnsi"/>
          <w:noProof/>
          <w:sz w:val="24"/>
          <w:szCs w:val="24"/>
        </w:rPr>
      </w:pPr>
      <w:r w:rsidRPr="006C05E6">
        <w:rPr>
          <w:rFonts w:cstheme="minorHAnsi"/>
          <w:noProof/>
          <w:sz w:val="24"/>
          <w:szCs w:val="24"/>
        </w:rPr>
        <w:t xml:space="preserve">Mirada desde los campos vecinos y ámbitos de estudios emergentes. </w:t>
      </w:r>
    </w:p>
    <w:p w14:paraId="6DDB3CB3" w14:textId="77777777" w:rsidR="006C05E6" w:rsidRPr="006C05E6" w:rsidRDefault="006C05E6" w:rsidP="006C05E6">
      <w:pPr>
        <w:spacing w:after="0" w:line="240" w:lineRule="auto"/>
        <w:jc w:val="both"/>
        <w:rPr>
          <w:rFonts w:cstheme="minorHAnsi"/>
          <w:noProof/>
          <w:sz w:val="24"/>
          <w:szCs w:val="24"/>
        </w:rPr>
      </w:pPr>
      <w:r w:rsidRPr="006C05E6">
        <w:rPr>
          <w:rFonts w:cstheme="minorHAnsi"/>
          <w:noProof/>
          <w:sz w:val="24"/>
          <w:szCs w:val="24"/>
        </w:rPr>
        <w:t>Dentro de los campos vecinos se realizan trabajos de psicología, gestión de procesos, sociología, filosofía y TIC. En los temas de gestión se abordan cuestiones relativas a los procesos de acreditación y certificación de procesos y planes de estudios, la gestión de la calidad, a escala institucional, de país y con enfoque de internalización.</w:t>
      </w:r>
    </w:p>
    <w:p w14:paraId="4272CA6D" w14:textId="77777777" w:rsidR="006C05E6" w:rsidRPr="006C05E6" w:rsidRDefault="006C05E6" w:rsidP="006C05E6">
      <w:pPr>
        <w:spacing w:after="0" w:line="240" w:lineRule="auto"/>
        <w:jc w:val="both"/>
        <w:rPr>
          <w:rFonts w:cstheme="minorHAnsi"/>
          <w:noProof/>
          <w:sz w:val="24"/>
          <w:szCs w:val="24"/>
        </w:rPr>
      </w:pPr>
      <w:r w:rsidRPr="006C05E6">
        <w:rPr>
          <w:rFonts w:cstheme="minorHAnsi"/>
          <w:noProof/>
          <w:sz w:val="24"/>
          <w:szCs w:val="24"/>
        </w:rPr>
        <w:t xml:space="preserve">Los artículos de psicología abordan temas de percepción relacionados con la identidad profesional, el género, la raza, los estudiantes inmigrantes, lo cual resultada una cuestión muy novedosa y pertinente en la formación de ingenieros, teniendo un abordaje transdisciplinar con perspectivas sociológicas. </w:t>
      </w:r>
    </w:p>
    <w:p w14:paraId="3B4C9671" w14:textId="5E66AD14" w:rsidR="00026AE3" w:rsidRDefault="006C05E6" w:rsidP="00610F25">
      <w:pPr>
        <w:spacing w:after="0" w:line="240" w:lineRule="auto"/>
        <w:jc w:val="both"/>
        <w:rPr>
          <w:rFonts w:cstheme="minorHAnsi"/>
          <w:noProof/>
          <w:sz w:val="24"/>
          <w:szCs w:val="24"/>
        </w:rPr>
      </w:pPr>
      <w:r w:rsidRPr="006C05E6">
        <w:rPr>
          <w:rFonts w:cstheme="minorHAnsi"/>
          <w:noProof/>
          <w:sz w:val="24"/>
          <w:szCs w:val="24"/>
        </w:rPr>
        <w:t>Se percibe una notable representatividad de artículos (72) dedicados a temas tan sensibles como la atención a la diversidad e inclusión en las comunidades de estudiantes de ingenierías. Dentro de ellos</w:t>
      </w:r>
      <w:r w:rsidR="000950F1">
        <w:rPr>
          <w:rFonts w:cstheme="minorHAnsi"/>
          <w:noProof/>
          <w:sz w:val="24"/>
          <w:szCs w:val="24"/>
        </w:rPr>
        <w:t>,</w:t>
      </w:r>
      <w:r w:rsidRPr="006C05E6">
        <w:rPr>
          <w:rFonts w:cstheme="minorHAnsi"/>
          <w:noProof/>
          <w:sz w:val="24"/>
          <w:szCs w:val="24"/>
        </w:rPr>
        <w:t xml:space="preserve"> estudiantes con discapacidades (sordo – mudos),</w:t>
      </w:r>
      <w:r>
        <w:rPr>
          <w:rFonts w:cstheme="minorHAnsi"/>
          <w:noProof/>
          <w:sz w:val="24"/>
          <w:szCs w:val="24"/>
        </w:rPr>
        <w:t xml:space="preserve"> </w:t>
      </w:r>
      <w:r w:rsidR="00327BE8">
        <w:rPr>
          <w:rFonts w:cstheme="minorHAnsi"/>
          <w:noProof/>
          <w:sz w:val="24"/>
          <w:szCs w:val="24"/>
        </w:rPr>
        <w:t>problemas de género, raza</w:t>
      </w:r>
      <w:r w:rsidR="00112CE8">
        <w:rPr>
          <w:rFonts w:cstheme="minorHAnsi"/>
          <w:noProof/>
          <w:sz w:val="24"/>
          <w:szCs w:val="24"/>
        </w:rPr>
        <w:t>,</w:t>
      </w:r>
      <w:r w:rsidR="00327BE8">
        <w:rPr>
          <w:rFonts w:cstheme="minorHAnsi"/>
          <w:noProof/>
          <w:sz w:val="24"/>
          <w:szCs w:val="24"/>
        </w:rPr>
        <w:t xml:space="preserve"> </w:t>
      </w:r>
      <w:r w:rsidR="00905A63">
        <w:rPr>
          <w:rFonts w:cstheme="minorHAnsi"/>
          <w:noProof/>
          <w:sz w:val="24"/>
          <w:szCs w:val="24"/>
        </w:rPr>
        <w:t xml:space="preserve">estatus social, </w:t>
      </w:r>
      <w:r w:rsidR="00996A0A">
        <w:rPr>
          <w:rFonts w:cstheme="minorHAnsi"/>
          <w:noProof/>
          <w:sz w:val="24"/>
          <w:szCs w:val="24"/>
        </w:rPr>
        <w:t>orientación e identidad sexual</w:t>
      </w:r>
      <w:r w:rsidR="000950F1">
        <w:rPr>
          <w:rFonts w:cstheme="minorHAnsi"/>
          <w:noProof/>
          <w:sz w:val="24"/>
          <w:szCs w:val="24"/>
        </w:rPr>
        <w:t>,</w:t>
      </w:r>
      <w:r w:rsidR="00996A0A">
        <w:rPr>
          <w:rFonts w:cstheme="minorHAnsi"/>
          <w:noProof/>
          <w:sz w:val="24"/>
          <w:szCs w:val="24"/>
        </w:rPr>
        <w:t xml:space="preserve"> en particular </w:t>
      </w:r>
      <w:r w:rsidR="002F7048">
        <w:rPr>
          <w:rFonts w:cstheme="minorHAnsi"/>
          <w:noProof/>
          <w:sz w:val="24"/>
          <w:szCs w:val="24"/>
        </w:rPr>
        <w:t xml:space="preserve">la comunidad </w:t>
      </w:r>
      <w:r w:rsidR="006F5ECC">
        <w:rPr>
          <w:rFonts w:ascii="Arial" w:hAnsi="Arial" w:cs="Arial"/>
          <w:color w:val="202124"/>
          <w:shd w:val="clear" w:color="auto" w:fill="FFFFFF"/>
        </w:rPr>
        <w:t>LGBTQ</w:t>
      </w:r>
      <w:r w:rsidR="00BD5783">
        <w:rPr>
          <w:rFonts w:cstheme="minorHAnsi"/>
          <w:noProof/>
          <w:sz w:val="24"/>
          <w:szCs w:val="24"/>
        </w:rPr>
        <w:t xml:space="preserve">. Estas líneas de investigación han permitido </w:t>
      </w:r>
      <w:r w:rsidR="00FD73D1">
        <w:rPr>
          <w:rFonts w:cstheme="minorHAnsi"/>
          <w:noProof/>
          <w:sz w:val="24"/>
          <w:szCs w:val="24"/>
        </w:rPr>
        <w:t xml:space="preserve">la creación de redes </w:t>
      </w:r>
      <w:r w:rsidR="006F5ECC">
        <w:rPr>
          <w:rFonts w:cstheme="minorHAnsi"/>
          <w:noProof/>
          <w:sz w:val="24"/>
          <w:szCs w:val="24"/>
        </w:rPr>
        <w:t xml:space="preserve">y centros </w:t>
      </w:r>
      <w:r w:rsidR="00FD73D1">
        <w:rPr>
          <w:rFonts w:cstheme="minorHAnsi"/>
          <w:noProof/>
          <w:sz w:val="24"/>
          <w:szCs w:val="24"/>
        </w:rPr>
        <w:t>de ayudas a las minorías en ingenierías</w:t>
      </w:r>
      <w:r w:rsidR="00BD5783">
        <w:rPr>
          <w:rFonts w:cstheme="minorHAnsi"/>
          <w:noProof/>
          <w:sz w:val="24"/>
          <w:szCs w:val="24"/>
        </w:rPr>
        <w:t>, así como la presencia de estos indicadores en observatorios</w:t>
      </w:r>
      <w:r>
        <w:rPr>
          <w:rFonts w:cstheme="minorHAnsi"/>
          <w:noProof/>
          <w:sz w:val="24"/>
          <w:szCs w:val="24"/>
        </w:rPr>
        <w:t xml:space="preserve"> </w:t>
      </w:r>
      <w:r w:rsidR="00BD5783">
        <w:rPr>
          <w:rFonts w:cstheme="minorHAnsi"/>
          <w:noProof/>
          <w:sz w:val="24"/>
          <w:szCs w:val="24"/>
        </w:rPr>
        <w:t xml:space="preserve">instalados en universidades e institutos superiores,  </w:t>
      </w:r>
      <w:r w:rsidR="000950F1">
        <w:rPr>
          <w:rFonts w:cstheme="minorHAnsi"/>
          <w:noProof/>
          <w:sz w:val="24"/>
          <w:szCs w:val="24"/>
        </w:rPr>
        <w:t>dando origen a</w:t>
      </w:r>
      <w:r w:rsidR="00327BE8">
        <w:rPr>
          <w:rFonts w:cstheme="minorHAnsi"/>
          <w:noProof/>
          <w:sz w:val="24"/>
          <w:szCs w:val="24"/>
        </w:rPr>
        <w:t xml:space="preserve"> la aparición de nuevos discursos en el campo de la </w:t>
      </w:r>
      <w:r w:rsidR="0081080C">
        <w:rPr>
          <w:rFonts w:cstheme="minorHAnsi"/>
          <w:noProof/>
          <w:sz w:val="24"/>
          <w:szCs w:val="24"/>
        </w:rPr>
        <w:t>EE</w:t>
      </w:r>
      <w:r w:rsidR="00327BE8">
        <w:rPr>
          <w:rFonts w:cstheme="minorHAnsi"/>
          <w:noProof/>
          <w:sz w:val="24"/>
          <w:szCs w:val="24"/>
        </w:rPr>
        <w:t xml:space="preserve">. </w:t>
      </w:r>
    </w:p>
    <w:p w14:paraId="24A4552F" w14:textId="11AC5876" w:rsidR="00C129D6" w:rsidRDefault="00B70E5F" w:rsidP="00610F25">
      <w:pPr>
        <w:spacing w:after="0" w:line="240" w:lineRule="auto"/>
        <w:jc w:val="both"/>
        <w:rPr>
          <w:rFonts w:cstheme="minorHAnsi"/>
          <w:noProof/>
          <w:sz w:val="24"/>
          <w:szCs w:val="24"/>
        </w:rPr>
      </w:pPr>
      <w:r>
        <w:rPr>
          <w:rFonts w:cstheme="minorHAnsi"/>
          <w:noProof/>
          <w:sz w:val="24"/>
          <w:szCs w:val="24"/>
        </w:rPr>
        <w:t>E</w:t>
      </w:r>
      <w:r w:rsidRPr="00B70E5F">
        <w:rPr>
          <w:rFonts w:cstheme="minorHAnsi"/>
          <w:noProof/>
          <w:sz w:val="24"/>
          <w:szCs w:val="24"/>
        </w:rPr>
        <w:t xml:space="preserve">mprendedurismo </w:t>
      </w:r>
      <w:r w:rsidR="00F21AB6">
        <w:rPr>
          <w:rFonts w:cstheme="minorHAnsi"/>
          <w:noProof/>
          <w:sz w:val="24"/>
          <w:szCs w:val="24"/>
        </w:rPr>
        <w:t xml:space="preserve"> es otra de las categorías que se ha ubicado con cierta rapidez en el cuadro de la </w:t>
      </w:r>
      <w:r w:rsidR="0081080C">
        <w:rPr>
          <w:rFonts w:cstheme="minorHAnsi"/>
          <w:noProof/>
          <w:sz w:val="24"/>
          <w:szCs w:val="24"/>
        </w:rPr>
        <w:t>EE</w:t>
      </w:r>
      <w:r w:rsidR="002E6AFC">
        <w:rPr>
          <w:rFonts w:cstheme="minorHAnsi"/>
          <w:noProof/>
          <w:sz w:val="24"/>
          <w:szCs w:val="24"/>
        </w:rPr>
        <w:t>,</w:t>
      </w:r>
      <w:r w:rsidR="00F21AB6">
        <w:rPr>
          <w:rFonts w:cstheme="minorHAnsi"/>
          <w:noProof/>
          <w:sz w:val="24"/>
          <w:szCs w:val="24"/>
        </w:rPr>
        <w:t xml:space="preserve"> con 23 citaciones.  </w:t>
      </w:r>
      <w:r w:rsidR="00D55A9F">
        <w:rPr>
          <w:rFonts w:cstheme="minorHAnsi"/>
          <w:noProof/>
          <w:sz w:val="24"/>
          <w:szCs w:val="24"/>
        </w:rPr>
        <w:t xml:space="preserve">Los artículos que tratan estos temas </w:t>
      </w:r>
      <w:r w:rsidR="002E6AFC">
        <w:rPr>
          <w:rFonts w:cstheme="minorHAnsi"/>
          <w:noProof/>
          <w:sz w:val="24"/>
          <w:szCs w:val="24"/>
        </w:rPr>
        <w:t xml:space="preserve">abordan aspectos sobre </w:t>
      </w:r>
      <w:r w:rsidR="00E551E9">
        <w:rPr>
          <w:rFonts w:cstheme="minorHAnsi"/>
          <w:noProof/>
          <w:sz w:val="24"/>
          <w:szCs w:val="24"/>
        </w:rPr>
        <w:t xml:space="preserve">la fundamentación sociofilosófica de la educación en </w:t>
      </w:r>
      <w:r>
        <w:rPr>
          <w:rFonts w:cstheme="minorHAnsi"/>
          <w:noProof/>
          <w:sz w:val="24"/>
          <w:szCs w:val="24"/>
        </w:rPr>
        <w:t>e</w:t>
      </w:r>
      <w:r w:rsidRPr="00B70E5F">
        <w:rPr>
          <w:rFonts w:cstheme="minorHAnsi"/>
          <w:noProof/>
          <w:sz w:val="24"/>
          <w:szCs w:val="24"/>
        </w:rPr>
        <w:t>mprendedurismo</w:t>
      </w:r>
      <w:r w:rsidR="00E551E9">
        <w:rPr>
          <w:rFonts w:cstheme="minorHAnsi"/>
          <w:noProof/>
          <w:sz w:val="24"/>
          <w:szCs w:val="24"/>
        </w:rPr>
        <w:t>,</w:t>
      </w:r>
      <w:r w:rsidR="00D55A9F">
        <w:rPr>
          <w:rFonts w:cstheme="minorHAnsi"/>
          <w:noProof/>
          <w:sz w:val="24"/>
          <w:szCs w:val="24"/>
        </w:rPr>
        <w:t xml:space="preserve"> la incoporporación de las compete</w:t>
      </w:r>
      <w:r w:rsidR="002E6AFC">
        <w:rPr>
          <w:rFonts w:cstheme="minorHAnsi"/>
          <w:noProof/>
          <w:sz w:val="24"/>
          <w:szCs w:val="24"/>
        </w:rPr>
        <w:t xml:space="preserve">ncias del ingeniero </w:t>
      </w:r>
      <w:r w:rsidR="00D55A9F">
        <w:rPr>
          <w:rFonts w:cstheme="minorHAnsi"/>
          <w:noProof/>
          <w:sz w:val="24"/>
          <w:szCs w:val="24"/>
        </w:rPr>
        <w:t>como líder, el diseño didáctico de cursos, proyectos y actividades en la industria para lograr el desarrollo de esta competencia</w:t>
      </w:r>
      <w:r w:rsidR="000C600F">
        <w:rPr>
          <w:rFonts w:cstheme="minorHAnsi"/>
          <w:noProof/>
          <w:sz w:val="24"/>
          <w:szCs w:val="24"/>
        </w:rPr>
        <w:t xml:space="preserve">, así como estudios de percepción en estudiantes sobre </w:t>
      </w:r>
      <w:r w:rsidR="002E6AFC">
        <w:rPr>
          <w:rFonts w:cstheme="minorHAnsi"/>
          <w:noProof/>
          <w:sz w:val="24"/>
          <w:szCs w:val="24"/>
        </w:rPr>
        <w:t xml:space="preserve">la </w:t>
      </w:r>
      <w:r w:rsidR="000C600F">
        <w:rPr>
          <w:rFonts w:cstheme="minorHAnsi"/>
          <w:noProof/>
          <w:sz w:val="24"/>
          <w:szCs w:val="24"/>
        </w:rPr>
        <w:t>importancia y pertinencia de estos cursos.</w:t>
      </w:r>
      <w:r w:rsidR="00D55A9F">
        <w:rPr>
          <w:rFonts w:cstheme="minorHAnsi"/>
          <w:noProof/>
          <w:sz w:val="24"/>
          <w:szCs w:val="24"/>
        </w:rPr>
        <w:t xml:space="preserve"> </w:t>
      </w:r>
    </w:p>
    <w:p w14:paraId="650A585A" w14:textId="5DA5151D" w:rsidR="00AA3EC7" w:rsidRDefault="00AA3EC7" w:rsidP="00610F25">
      <w:pPr>
        <w:spacing w:after="0" w:line="240" w:lineRule="auto"/>
        <w:jc w:val="both"/>
        <w:rPr>
          <w:rFonts w:cstheme="minorHAnsi"/>
          <w:noProof/>
          <w:sz w:val="24"/>
          <w:szCs w:val="24"/>
        </w:rPr>
      </w:pPr>
    </w:p>
    <w:p w14:paraId="2127D121" w14:textId="0F5FDF2F" w:rsidR="00F64B52" w:rsidRPr="0085537A" w:rsidRDefault="0083170B" w:rsidP="00610F25">
      <w:pPr>
        <w:spacing w:after="0" w:line="240" w:lineRule="auto"/>
        <w:jc w:val="both"/>
        <w:rPr>
          <w:rFonts w:cstheme="minorHAnsi"/>
          <w:noProof/>
          <w:sz w:val="24"/>
          <w:szCs w:val="24"/>
        </w:rPr>
      </w:pPr>
      <w:r w:rsidRPr="0085537A">
        <w:rPr>
          <w:rFonts w:cstheme="minorHAnsi"/>
          <w:noProof/>
          <w:sz w:val="24"/>
          <w:szCs w:val="24"/>
        </w:rPr>
        <w:t xml:space="preserve">Miradas a los objetos de investigación </w:t>
      </w:r>
      <w:r w:rsidR="00AC20CA" w:rsidRPr="0085537A">
        <w:rPr>
          <w:rFonts w:cstheme="minorHAnsi"/>
          <w:noProof/>
          <w:sz w:val="24"/>
          <w:szCs w:val="24"/>
        </w:rPr>
        <w:t xml:space="preserve">en </w:t>
      </w:r>
      <w:r w:rsidR="0081080C">
        <w:rPr>
          <w:rFonts w:cstheme="minorHAnsi"/>
          <w:noProof/>
          <w:sz w:val="24"/>
          <w:szCs w:val="24"/>
        </w:rPr>
        <w:t>EE</w:t>
      </w:r>
      <w:r w:rsidR="00AC20CA" w:rsidRPr="0085537A">
        <w:rPr>
          <w:rFonts w:cstheme="minorHAnsi"/>
          <w:noProof/>
          <w:sz w:val="24"/>
          <w:szCs w:val="24"/>
        </w:rPr>
        <w:t xml:space="preserve"> </w:t>
      </w:r>
      <w:r w:rsidRPr="0085537A">
        <w:rPr>
          <w:rFonts w:cstheme="minorHAnsi"/>
          <w:noProof/>
          <w:sz w:val="24"/>
          <w:szCs w:val="24"/>
        </w:rPr>
        <w:t xml:space="preserve">desde las </w:t>
      </w:r>
      <w:r w:rsidR="00AC20CA" w:rsidRPr="0085537A">
        <w:rPr>
          <w:rFonts w:cstheme="minorHAnsi"/>
          <w:noProof/>
          <w:sz w:val="24"/>
          <w:szCs w:val="24"/>
        </w:rPr>
        <w:t xml:space="preserve">CoP. </w:t>
      </w:r>
    </w:p>
    <w:p w14:paraId="0FAD7779" w14:textId="188545C1" w:rsidR="0000519D" w:rsidRDefault="0085537A" w:rsidP="00610F25">
      <w:pPr>
        <w:spacing w:after="0" w:line="240" w:lineRule="auto"/>
        <w:jc w:val="both"/>
        <w:rPr>
          <w:rFonts w:cstheme="minorHAnsi"/>
          <w:noProof/>
          <w:sz w:val="24"/>
          <w:szCs w:val="24"/>
        </w:rPr>
      </w:pPr>
      <w:r w:rsidRPr="0085537A">
        <w:rPr>
          <w:rFonts w:cstheme="minorHAnsi"/>
          <w:noProof/>
          <w:sz w:val="24"/>
          <w:szCs w:val="24"/>
        </w:rPr>
        <w:lastRenderedPageBreak/>
        <w:t xml:space="preserve">En este apartado </w:t>
      </w:r>
      <w:r>
        <w:rPr>
          <w:rFonts w:cstheme="minorHAnsi"/>
          <w:noProof/>
          <w:sz w:val="24"/>
          <w:szCs w:val="24"/>
        </w:rPr>
        <w:t xml:space="preserve">se presenta el comportamiento de las 45 categorías de la </w:t>
      </w:r>
      <w:r w:rsidR="0081080C">
        <w:rPr>
          <w:rFonts w:cstheme="minorHAnsi"/>
          <w:noProof/>
          <w:sz w:val="24"/>
          <w:szCs w:val="24"/>
        </w:rPr>
        <w:t>EE</w:t>
      </w:r>
      <w:r>
        <w:rPr>
          <w:rFonts w:cstheme="minorHAnsi"/>
          <w:noProof/>
          <w:sz w:val="24"/>
          <w:szCs w:val="24"/>
        </w:rPr>
        <w:t xml:space="preserve"> detectadas en el estudio y representa</w:t>
      </w:r>
      <w:r w:rsidR="00612EFC">
        <w:rPr>
          <w:rFonts w:cstheme="minorHAnsi"/>
          <w:noProof/>
          <w:sz w:val="24"/>
          <w:szCs w:val="24"/>
        </w:rPr>
        <w:t>das en la red de la figura # 1 a través del comportamiento de</w:t>
      </w:r>
      <w:r w:rsidR="00BE59B5">
        <w:rPr>
          <w:rFonts w:cstheme="minorHAnsi"/>
          <w:noProof/>
          <w:sz w:val="24"/>
          <w:szCs w:val="24"/>
        </w:rPr>
        <w:t xml:space="preserve"> cada una de ellas en cada CoP y un estudio se similaridad según los resultados del índice de Jaccard. </w:t>
      </w:r>
      <w:r w:rsidR="00D36A71">
        <w:rPr>
          <w:rFonts w:cstheme="minorHAnsi"/>
          <w:noProof/>
          <w:sz w:val="24"/>
          <w:szCs w:val="24"/>
        </w:rPr>
        <w:t xml:space="preserve">Como ya se habia expuesto </w:t>
      </w:r>
      <w:r w:rsidR="00BA252F">
        <w:rPr>
          <w:rFonts w:cstheme="minorHAnsi"/>
          <w:noProof/>
          <w:sz w:val="24"/>
          <w:szCs w:val="24"/>
        </w:rPr>
        <w:t>20</w:t>
      </w:r>
      <w:r w:rsidR="00D36A71">
        <w:rPr>
          <w:rFonts w:cstheme="minorHAnsi"/>
          <w:noProof/>
          <w:sz w:val="24"/>
          <w:szCs w:val="24"/>
        </w:rPr>
        <w:t xml:space="preserve"> de las categorías están presentes en todas las CoP. </w:t>
      </w:r>
    </w:p>
    <w:p w14:paraId="0FBF0738" w14:textId="11504A1E" w:rsidR="00CC2FAA" w:rsidRDefault="00E73233" w:rsidP="00610F25">
      <w:pPr>
        <w:spacing w:after="0" w:line="240" w:lineRule="auto"/>
        <w:jc w:val="both"/>
        <w:rPr>
          <w:rFonts w:cstheme="minorHAnsi"/>
          <w:noProof/>
          <w:sz w:val="24"/>
          <w:szCs w:val="24"/>
        </w:rPr>
      </w:pPr>
      <w:r>
        <w:rPr>
          <w:rFonts w:cstheme="minorHAnsi"/>
          <w:noProof/>
          <w:sz w:val="24"/>
          <w:szCs w:val="24"/>
        </w:rPr>
        <w:t xml:space="preserve">La figura # 2 nos visualizaba la relación ausencia/presencia de las 25 categorías sin distinguir </w:t>
      </w:r>
      <w:r w:rsidR="00474437">
        <w:rPr>
          <w:rFonts w:cstheme="minorHAnsi"/>
          <w:noProof/>
          <w:sz w:val="24"/>
          <w:szCs w:val="24"/>
        </w:rPr>
        <w:t xml:space="preserve">las CoP, ahora en </w:t>
      </w:r>
      <w:r>
        <w:rPr>
          <w:rFonts w:cstheme="minorHAnsi"/>
          <w:noProof/>
          <w:sz w:val="24"/>
          <w:szCs w:val="24"/>
        </w:rPr>
        <w:t>la figura # 3</w:t>
      </w:r>
      <w:r w:rsidR="00474437">
        <w:rPr>
          <w:rFonts w:cstheme="minorHAnsi"/>
          <w:noProof/>
          <w:sz w:val="24"/>
          <w:szCs w:val="24"/>
        </w:rPr>
        <w:t xml:space="preserve"> se</w:t>
      </w:r>
      <w:r>
        <w:rPr>
          <w:rFonts w:cstheme="minorHAnsi"/>
          <w:noProof/>
          <w:sz w:val="24"/>
          <w:szCs w:val="24"/>
        </w:rPr>
        <w:t xml:space="preserve"> </w:t>
      </w:r>
      <w:r w:rsidR="00474437">
        <w:rPr>
          <w:rFonts w:cstheme="minorHAnsi"/>
          <w:noProof/>
          <w:sz w:val="24"/>
          <w:szCs w:val="24"/>
        </w:rPr>
        <w:t>representa</w:t>
      </w:r>
      <w:r w:rsidR="00A64527">
        <w:rPr>
          <w:rFonts w:cstheme="minorHAnsi"/>
          <w:noProof/>
          <w:sz w:val="24"/>
          <w:szCs w:val="24"/>
        </w:rPr>
        <w:t>n</w:t>
      </w:r>
      <w:r w:rsidR="00474437">
        <w:rPr>
          <w:rFonts w:cstheme="minorHAnsi"/>
          <w:noProof/>
          <w:sz w:val="24"/>
          <w:szCs w:val="24"/>
        </w:rPr>
        <w:t xml:space="preserve"> las frecuencias absolutas de citación de las categorías, </w:t>
      </w:r>
      <w:r w:rsidR="008D328E">
        <w:rPr>
          <w:rFonts w:cstheme="minorHAnsi"/>
          <w:noProof/>
          <w:sz w:val="24"/>
          <w:szCs w:val="24"/>
        </w:rPr>
        <w:t xml:space="preserve">al ser </w:t>
      </w:r>
      <w:r w:rsidR="00123401">
        <w:rPr>
          <w:rFonts w:cstheme="minorHAnsi"/>
          <w:noProof/>
          <w:sz w:val="24"/>
          <w:szCs w:val="24"/>
        </w:rPr>
        <w:t xml:space="preserve">un gráfico tridiemensional </w:t>
      </w:r>
      <w:r w:rsidR="008D328E">
        <w:rPr>
          <w:rFonts w:cstheme="minorHAnsi"/>
          <w:noProof/>
          <w:sz w:val="24"/>
          <w:szCs w:val="24"/>
        </w:rPr>
        <w:t xml:space="preserve">permite evaluar el comportamento de la misma entre CoP y conocer </w:t>
      </w:r>
      <w:r w:rsidR="00A8779A">
        <w:rPr>
          <w:rFonts w:cstheme="minorHAnsi"/>
          <w:noProof/>
          <w:sz w:val="24"/>
          <w:szCs w:val="24"/>
        </w:rPr>
        <w:t>su representatividad en su propia</w:t>
      </w:r>
      <w:r w:rsidR="008D328E">
        <w:rPr>
          <w:rFonts w:cstheme="minorHAnsi"/>
          <w:noProof/>
          <w:sz w:val="24"/>
          <w:szCs w:val="24"/>
        </w:rPr>
        <w:t xml:space="preserve"> CoP </w:t>
      </w:r>
      <w:r w:rsidR="00A8779A">
        <w:rPr>
          <w:rFonts w:cstheme="minorHAnsi"/>
          <w:noProof/>
          <w:sz w:val="24"/>
          <w:szCs w:val="24"/>
        </w:rPr>
        <w:t xml:space="preserve">en </w:t>
      </w:r>
      <w:r w:rsidR="008D328E">
        <w:rPr>
          <w:rFonts w:cstheme="minorHAnsi"/>
          <w:noProof/>
          <w:sz w:val="24"/>
          <w:szCs w:val="24"/>
        </w:rPr>
        <w:t xml:space="preserve">con relación a las categorías restantes. </w:t>
      </w:r>
      <w:r w:rsidR="008C5009">
        <w:rPr>
          <w:rFonts w:cstheme="minorHAnsi"/>
          <w:noProof/>
          <w:sz w:val="24"/>
          <w:szCs w:val="24"/>
        </w:rPr>
        <w:t xml:space="preserve">Pudiendo así comparar que esta ocurriendo entre CoP con una misma categoría y que sucede al interior de cada CoP en términos de publicaciones entre las categorías encontradas. </w:t>
      </w:r>
      <w:r w:rsidR="00182225">
        <w:rPr>
          <w:rFonts w:cstheme="minorHAnsi"/>
          <w:noProof/>
          <w:sz w:val="24"/>
          <w:szCs w:val="24"/>
        </w:rPr>
        <w:t>Dado que no es interés de esta investigación particulizar al interior de las CoP se sustituyeron los nombres de las comunidades por letras del alfabeto en mayúculas (A, B, C, D, E ,F,G, H)</w:t>
      </w:r>
    </w:p>
    <w:p w14:paraId="30DA4A4D" w14:textId="77777777" w:rsidR="00CC2FAA" w:rsidRDefault="00CC2FAA" w:rsidP="00133C72">
      <w:pPr>
        <w:spacing w:after="0" w:line="240" w:lineRule="auto"/>
        <w:jc w:val="center"/>
        <w:rPr>
          <w:rFonts w:cstheme="minorHAnsi"/>
          <w:noProof/>
          <w:sz w:val="24"/>
          <w:szCs w:val="24"/>
        </w:rPr>
      </w:pPr>
    </w:p>
    <w:p w14:paraId="5EF16693" w14:textId="0FE367FD" w:rsidR="006020C8" w:rsidRPr="00B47862" w:rsidRDefault="006020C8" w:rsidP="00133C72">
      <w:pPr>
        <w:spacing w:after="0" w:line="240" w:lineRule="auto"/>
        <w:jc w:val="center"/>
        <w:rPr>
          <w:rFonts w:cstheme="minorHAnsi"/>
          <w:i/>
          <w:noProof/>
          <w:sz w:val="24"/>
          <w:szCs w:val="24"/>
        </w:rPr>
      </w:pPr>
      <w:r w:rsidRPr="00B47862">
        <w:rPr>
          <w:rFonts w:cstheme="minorHAnsi"/>
          <w:i/>
          <w:noProof/>
          <w:sz w:val="24"/>
          <w:szCs w:val="24"/>
        </w:rPr>
        <w:t xml:space="preserve">Figura # 3. </w:t>
      </w:r>
      <w:r w:rsidR="00B47862" w:rsidRPr="00B47862">
        <w:rPr>
          <w:rFonts w:cstheme="minorHAnsi"/>
          <w:i/>
          <w:noProof/>
          <w:sz w:val="24"/>
          <w:szCs w:val="24"/>
        </w:rPr>
        <w:t>Frecuencias absolutas compartivas de las categorías con ausencias por CoP.</w:t>
      </w:r>
    </w:p>
    <w:p w14:paraId="2E845962" w14:textId="0964173B" w:rsidR="00947DB0" w:rsidRPr="00956007" w:rsidRDefault="002A58AB" w:rsidP="006E568E">
      <w:pPr>
        <w:spacing w:after="0" w:line="240" w:lineRule="auto"/>
        <w:jc w:val="center"/>
        <w:rPr>
          <w:rFonts w:cstheme="minorHAnsi"/>
          <w:noProof/>
          <w:sz w:val="24"/>
          <w:szCs w:val="24"/>
        </w:rPr>
      </w:pPr>
      <w:r>
        <w:rPr>
          <w:noProof/>
          <w:lang w:eastAsia="es-ES"/>
        </w:rPr>
        <w:drawing>
          <wp:inline distT="0" distB="0" distL="0" distR="0" wp14:anchorId="5FDBF618" wp14:editId="147CD163">
            <wp:extent cx="5703570" cy="4124960"/>
            <wp:effectExtent l="0" t="0" r="11430" b="889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924F87" w14:textId="2E632CCF" w:rsidR="008C2C8B" w:rsidRDefault="008C2C8B" w:rsidP="004F3E94">
      <w:pPr>
        <w:spacing w:after="0" w:line="240" w:lineRule="auto"/>
        <w:rPr>
          <w:rFonts w:cstheme="minorHAnsi"/>
          <w:noProof/>
          <w:sz w:val="24"/>
          <w:szCs w:val="24"/>
        </w:rPr>
      </w:pPr>
    </w:p>
    <w:p w14:paraId="2DBACC94" w14:textId="77777777" w:rsidR="00045171" w:rsidRDefault="00045171" w:rsidP="004F3E94">
      <w:pPr>
        <w:spacing w:after="0" w:line="240" w:lineRule="auto"/>
        <w:rPr>
          <w:rFonts w:cstheme="minorHAnsi"/>
          <w:noProof/>
          <w:sz w:val="24"/>
          <w:szCs w:val="24"/>
        </w:rPr>
      </w:pPr>
    </w:p>
    <w:p w14:paraId="45089178" w14:textId="0C1900C1" w:rsidR="009D6323" w:rsidRDefault="00E16F95" w:rsidP="005E5A93">
      <w:pPr>
        <w:spacing w:after="0" w:line="240" w:lineRule="auto"/>
        <w:jc w:val="both"/>
        <w:rPr>
          <w:rFonts w:eastAsiaTheme="minorEastAsia" w:cstheme="minorHAnsi"/>
          <w:noProof/>
          <w:sz w:val="24"/>
          <w:szCs w:val="24"/>
        </w:rPr>
      </w:pPr>
      <w:r>
        <w:rPr>
          <w:rFonts w:cstheme="minorHAnsi"/>
          <w:noProof/>
          <w:sz w:val="24"/>
          <w:szCs w:val="24"/>
        </w:rPr>
        <w:t>Aunque la figura # 3</w:t>
      </w:r>
      <w:r w:rsidR="009D6323">
        <w:rPr>
          <w:rFonts w:cstheme="minorHAnsi"/>
          <w:noProof/>
          <w:sz w:val="24"/>
          <w:szCs w:val="24"/>
        </w:rPr>
        <w:t xml:space="preserve"> solo muestra el comportamiento de 25 categorías </w:t>
      </w:r>
      <w:r w:rsidR="005E5A93">
        <w:rPr>
          <w:rFonts w:cstheme="minorHAnsi"/>
          <w:noProof/>
          <w:sz w:val="24"/>
          <w:szCs w:val="24"/>
        </w:rPr>
        <w:t>que tienen ausencias en ciertas comunidades</w:t>
      </w:r>
      <w:r w:rsidR="00182225">
        <w:rPr>
          <w:rFonts w:cstheme="minorHAnsi"/>
          <w:noProof/>
          <w:sz w:val="24"/>
          <w:szCs w:val="24"/>
        </w:rPr>
        <w:t>,</w:t>
      </w:r>
      <w:r w:rsidR="005E5A93">
        <w:rPr>
          <w:rFonts w:cstheme="minorHAnsi"/>
          <w:noProof/>
          <w:sz w:val="24"/>
          <w:szCs w:val="24"/>
        </w:rPr>
        <w:t xml:space="preserve"> </w:t>
      </w:r>
      <w:r w:rsidR="009D6323">
        <w:rPr>
          <w:rFonts w:cstheme="minorHAnsi"/>
          <w:noProof/>
          <w:sz w:val="24"/>
          <w:szCs w:val="24"/>
        </w:rPr>
        <w:t xml:space="preserve">puede ayudar a comprender los valores obtenidos al aplicar el índice de Jaccard entre CoP. </w:t>
      </w:r>
      <w:r w:rsidR="008E31E1">
        <w:rPr>
          <w:rFonts w:cstheme="minorHAnsi"/>
          <w:noProof/>
          <w:sz w:val="24"/>
          <w:szCs w:val="24"/>
        </w:rPr>
        <w:t>La tabla # 1</w:t>
      </w:r>
      <w:r>
        <w:rPr>
          <w:rFonts w:cstheme="minorHAnsi"/>
          <w:noProof/>
          <w:sz w:val="24"/>
          <w:szCs w:val="24"/>
        </w:rPr>
        <w:t xml:space="preserve"> muestra  los valores del índice de Jaccard </w:t>
      </w:r>
      <w:r w:rsidR="003D2812">
        <w:rPr>
          <w:rFonts w:cstheme="minorHAnsi"/>
          <w:noProof/>
          <w:sz w:val="24"/>
          <w:szCs w:val="24"/>
        </w:rPr>
        <w:t xml:space="preserve">entre pares de CoP, por ello es que la diagonal principal los valores de </w:t>
      </w:r>
      <m:oMath>
        <m:r>
          <w:rPr>
            <w:rFonts w:ascii="Cambria Math" w:hAnsi="Cambria Math" w:cstheme="minorHAnsi"/>
            <w:noProof/>
            <w:sz w:val="24"/>
            <w:szCs w:val="24"/>
          </w:rPr>
          <m:t>iJ=1</m:t>
        </m:r>
      </m:oMath>
      <w:r w:rsidR="003D2812">
        <w:rPr>
          <w:rFonts w:eastAsiaTheme="minorEastAsia" w:cstheme="minorHAnsi"/>
          <w:noProof/>
          <w:sz w:val="24"/>
          <w:szCs w:val="24"/>
        </w:rPr>
        <w:t xml:space="preserve">. </w:t>
      </w:r>
    </w:p>
    <w:p w14:paraId="223E231E" w14:textId="749E2625" w:rsidR="00324843" w:rsidRDefault="00324843" w:rsidP="005E5A93">
      <w:pPr>
        <w:spacing w:after="0" w:line="240" w:lineRule="auto"/>
        <w:jc w:val="both"/>
        <w:rPr>
          <w:rFonts w:eastAsiaTheme="minorEastAsia" w:cstheme="minorHAnsi"/>
          <w:noProof/>
          <w:sz w:val="24"/>
          <w:szCs w:val="24"/>
        </w:rPr>
      </w:pPr>
    </w:p>
    <w:p w14:paraId="722A4AA8" w14:textId="5B7EFA8D" w:rsidR="00B3522B" w:rsidRDefault="00B3522B" w:rsidP="005E5A93">
      <w:pPr>
        <w:spacing w:after="0" w:line="240" w:lineRule="auto"/>
        <w:jc w:val="both"/>
        <w:rPr>
          <w:rFonts w:eastAsiaTheme="minorEastAsia" w:cstheme="minorHAnsi"/>
          <w:noProof/>
          <w:sz w:val="24"/>
          <w:szCs w:val="24"/>
        </w:rPr>
      </w:pPr>
    </w:p>
    <w:p w14:paraId="315EE63D" w14:textId="20B38508" w:rsidR="00B3522B" w:rsidRDefault="00B3522B" w:rsidP="005E5A93">
      <w:pPr>
        <w:spacing w:after="0" w:line="240" w:lineRule="auto"/>
        <w:jc w:val="both"/>
        <w:rPr>
          <w:rFonts w:eastAsiaTheme="minorEastAsia" w:cstheme="minorHAnsi"/>
          <w:noProof/>
          <w:sz w:val="24"/>
          <w:szCs w:val="24"/>
        </w:rPr>
      </w:pPr>
    </w:p>
    <w:p w14:paraId="220359B4" w14:textId="77777777" w:rsidR="00B3522B" w:rsidRDefault="00B3522B" w:rsidP="005E5A93">
      <w:pPr>
        <w:spacing w:after="0" w:line="240" w:lineRule="auto"/>
        <w:jc w:val="both"/>
        <w:rPr>
          <w:rFonts w:eastAsiaTheme="minorEastAsia" w:cstheme="minorHAnsi"/>
          <w:noProof/>
          <w:sz w:val="24"/>
          <w:szCs w:val="24"/>
        </w:rPr>
      </w:pPr>
    </w:p>
    <w:p w14:paraId="691F03D1" w14:textId="183CFA2B" w:rsidR="00907C44" w:rsidRPr="00F421A2" w:rsidRDefault="008E31E1" w:rsidP="005E5A93">
      <w:pPr>
        <w:spacing w:after="0" w:line="240" w:lineRule="auto"/>
        <w:jc w:val="both"/>
        <w:rPr>
          <w:rFonts w:eastAsiaTheme="minorEastAsia" w:cstheme="minorHAnsi"/>
          <w:i/>
          <w:noProof/>
          <w:sz w:val="24"/>
          <w:szCs w:val="24"/>
        </w:rPr>
      </w:pPr>
      <w:r>
        <w:rPr>
          <w:rFonts w:cstheme="minorHAnsi"/>
          <w:noProof/>
          <w:sz w:val="24"/>
          <w:szCs w:val="24"/>
        </w:rPr>
        <w:lastRenderedPageBreak/>
        <w:t xml:space="preserve">Tabla # 1 </w:t>
      </w:r>
      <w:r w:rsidR="00D12D01" w:rsidRPr="00F421A2">
        <w:rPr>
          <w:rFonts w:cstheme="minorHAnsi"/>
          <w:i/>
          <w:noProof/>
          <w:sz w:val="24"/>
          <w:szCs w:val="24"/>
        </w:rPr>
        <w:t>Valores del índice de Jaccard.</w:t>
      </w:r>
    </w:p>
    <w:tbl>
      <w:tblPr>
        <w:tblW w:w="8004" w:type="dxa"/>
        <w:jc w:val="center"/>
        <w:tblCellMar>
          <w:left w:w="70" w:type="dxa"/>
          <w:right w:w="70" w:type="dxa"/>
        </w:tblCellMar>
        <w:tblLook w:val="04A0" w:firstRow="1" w:lastRow="0" w:firstColumn="1" w:lastColumn="0" w:noHBand="0" w:noVBand="1"/>
      </w:tblPr>
      <w:tblGrid>
        <w:gridCol w:w="890"/>
        <w:gridCol w:w="890"/>
        <w:gridCol w:w="890"/>
        <w:gridCol w:w="889"/>
        <w:gridCol w:w="889"/>
        <w:gridCol w:w="889"/>
        <w:gridCol w:w="889"/>
        <w:gridCol w:w="889"/>
        <w:gridCol w:w="889"/>
      </w:tblGrid>
      <w:tr w:rsidR="002A58AB" w14:paraId="702FC86B" w14:textId="77777777" w:rsidTr="002A58AB">
        <w:trPr>
          <w:trHeight w:val="315"/>
          <w:jc w:val="center"/>
        </w:trPr>
        <w:tc>
          <w:tcPr>
            <w:tcW w:w="890" w:type="dxa"/>
            <w:tcBorders>
              <w:top w:val="single" w:sz="8" w:space="0" w:color="auto"/>
              <w:left w:val="single" w:sz="8" w:space="0" w:color="auto"/>
              <w:bottom w:val="single" w:sz="8" w:space="0" w:color="auto"/>
              <w:right w:val="single" w:sz="8" w:space="0" w:color="auto"/>
            </w:tcBorders>
            <w:noWrap/>
            <w:hideMark/>
          </w:tcPr>
          <w:p w14:paraId="3EDDB259" w14:textId="77777777" w:rsidR="002A58AB" w:rsidRDefault="002A58AB">
            <w:pPr>
              <w:spacing w:after="0" w:line="240" w:lineRule="auto"/>
              <w:jc w:val="both"/>
              <w:rPr>
                <w:rFonts w:cstheme="minorHAnsi"/>
                <w:noProof/>
                <w:sz w:val="20"/>
                <w:szCs w:val="20"/>
              </w:rPr>
            </w:pPr>
            <w:r>
              <w:rPr>
                <w:rFonts w:cstheme="minorHAnsi"/>
                <w:noProof/>
                <w:sz w:val="20"/>
                <w:szCs w:val="20"/>
              </w:rPr>
              <w:t> </w:t>
            </w:r>
          </w:p>
        </w:tc>
        <w:tc>
          <w:tcPr>
            <w:tcW w:w="890" w:type="dxa"/>
            <w:tcBorders>
              <w:top w:val="single" w:sz="8" w:space="0" w:color="auto"/>
              <w:left w:val="nil"/>
              <w:bottom w:val="single" w:sz="8" w:space="0" w:color="auto"/>
              <w:right w:val="single" w:sz="8" w:space="0" w:color="auto"/>
            </w:tcBorders>
            <w:noWrap/>
            <w:vAlign w:val="center"/>
            <w:hideMark/>
          </w:tcPr>
          <w:p w14:paraId="5A0FE377" w14:textId="77777777" w:rsidR="002A58AB" w:rsidRDefault="002A58AB">
            <w:pPr>
              <w:spacing w:after="0" w:line="240" w:lineRule="auto"/>
              <w:jc w:val="both"/>
              <w:rPr>
                <w:rFonts w:cstheme="minorHAnsi"/>
                <w:noProof/>
                <w:sz w:val="20"/>
                <w:szCs w:val="20"/>
              </w:rPr>
            </w:pPr>
            <w:r>
              <w:rPr>
                <w:rFonts w:cstheme="minorHAnsi"/>
                <w:noProof/>
                <w:sz w:val="20"/>
                <w:szCs w:val="20"/>
              </w:rPr>
              <w:t>CoP - A</w:t>
            </w:r>
          </w:p>
        </w:tc>
        <w:tc>
          <w:tcPr>
            <w:tcW w:w="890" w:type="dxa"/>
            <w:tcBorders>
              <w:top w:val="single" w:sz="8" w:space="0" w:color="auto"/>
              <w:left w:val="nil"/>
              <w:bottom w:val="single" w:sz="8" w:space="0" w:color="auto"/>
              <w:right w:val="single" w:sz="8" w:space="0" w:color="auto"/>
            </w:tcBorders>
            <w:noWrap/>
            <w:vAlign w:val="center"/>
            <w:hideMark/>
          </w:tcPr>
          <w:p w14:paraId="2E9622A0" w14:textId="77777777" w:rsidR="002A58AB" w:rsidRDefault="002A58AB">
            <w:pPr>
              <w:spacing w:after="0" w:line="240" w:lineRule="auto"/>
              <w:jc w:val="both"/>
              <w:rPr>
                <w:rFonts w:cstheme="minorHAnsi"/>
                <w:noProof/>
                <w:sz w:val="20"/>
                <w:szCs w:val="20"/>
              </w:rPr>
            </w:pPr>
            <w:r>
              <w:rPr>
                <w:rFonts w:cstheme="minorHAnsi"/>
                <w:noProof/>
                <w:sz w:val="20"/>
                <w:szCs w:val="20"/>
              </w:rPr>
              <w:t>CoP - B</w:t>
            </w:r>
          </w:p>
        </w:tc>
        <w:tc>
          <w:tcPr>
            <w:tcW w:w="889" w:type="dxa"/>
            <w:tcBorders>
              <w:top w:val="single" w:sz="8" w:space="0" w:color="auto"/>
              <w:left w:val="nil"/>
              <w:bottom w:val="single" w:sz="8" w:space="0" w:color="auto"/>
              <w:right w:val="single" w:sz="8" w:space="0" w:color="auto"/>
            </w:tcBorders>
            <w:noWrap/>
            <w:vAlign w:val="center"/>
            <w:hideMark/>
          </w:tcPr>
          <w:p w14:paraId="50BB1829" w14:textId="77777777" w:rsidR="002A58AB" w:rsidRDefault="002A58AB">
            <w:pPr>
              <w:spacing w:after="0" w:line="240" w:lineRule="auto"/>
              <w:jc w:val="both"/>
              <w:rPr>
                <w:rFonts w:cstheme="minorHAnsi"/>
                <w:noProof/>
                <w:sz w:val="20"/>
                <w:szCs w:val="20"/>
              </w:rPr>
            </w:pPr>
            <w:r>
              <w:rPr>
                <w:rFonts w:cstheme="minorHAnsi"/>
                <w:noProof/>
                <w:sz w:val="20"/>
                <w:szCs w:val="20"/>
              </w:rPr>
              <w:t>CoP - C</w:t>
            </w:r>
          </w:p>
        </w:tc>
        <w:tc>
          <w:tcPr>
            <w:tcW w:w="889" w:type="dxa"/>
            <w:tcBorders>
              <w:top w:val="single" w:sz="8" w:space="0" w:color="auto"/>
              <w:left w:val="nil"/>
              <w:bottom w:val="single" w:sz="8" w:space="0" w:color="auto"/>
              <w:right w:val="single" w:sz="8" w:space="0" w:color="auto"/>
            </w:tcBorders>
            <w:noWrap/>
            <w:vAlign w:val="center"/>
            <w:hideMark/>
          </w:tcPr>
          <w:p w14:paraId="349AB40A" w14:textId="77777777" w:rsidR="002A58AB" w:rsidRDefault="002A58AB">
            <w:pPr>
              <w:spacing w:after="0" w:line="240" w:lineRule="auto"/>
              <w:jc w:val="both"/>
              <w:rPr>
                <w:rFonts w:cstheme="minorHAnsi"/>
                <w:noProof/>
                <w:sz w:val="20"/>
                <w:szCs w:val="20"/>
              </w:rPr>
            </w:pPr>
            <w:r>
              <w:rPr>
                <w:rFonts w:cstheme="minorHAnsi"/>
                <w:noProof/>
                <w:sz w:val="20"/>
                <w:szCs w:val="20"/>
              </w:rPr>
              <w:t>CoP - D</w:t>
            </w:r>
          </w:p>
        </w:tc>
        <w:tc>
          <w:tcPr>
            <w:tcW w:w="889" w:type="dxa"/>
            <w:tcBorders>
              <w:top w:val="single" w:sz="8" w:space="0" w:color="auto"/>
              <w:left w:val="nil"/>
              <w:bottom w:val="single" w:sz="8" w:space="0" w:color="auto"/>
              <w:right w:val="single" w:sz="8" w:space="0" w:color="auto"/>
            </w:tcBorders>
            <w:noWrap/>
            <w:vAlign w:val="center"/>
            <w:hideMark/>
          </w:tcPr>
          <w:p w14:paraId="2DF9A0A0" w14:textId="77777777" w:rsidR="002A58AB" w:rsidRDefault="002A58AB">
            <w:pPr>
              <w:spacing w:after="0" w:line="240" w:lineRule="auto"/>
              <w:jc w:val="both"/>
              <w:rPr>
                <w:rFonts w:cstheme="minorHAnsi"/>
                <w:noProof/>
                <w:sz w:val="20"/>
                <w:szCs w:val="20"/>
              </w:rPr>
            </w:pPr>
            <w:r>
              <w:rPr>
                <w:rFonts w:cstheme="minorHAnsi"/>
                <w:noProof/>
                <w:sz w:val="20"/>
                <w:szCs w:val="20"/>
              </w:rPr>
              <w:t>CoP - E</w:t>
            </w:r>
          </w:p>
        </w:tc>
        <w:tc>
          <w:tcPr>
            <w:tcW w:w="889" w:type="dxa"/>
            <w:tcBorders>
              <w:top w:val="single" w:sz="8" w:space="0" w:color="auto"/>
              <w:left w:val="nil"/>
              <w:bottom w:val="single" w:sz="8" w:space="0" w:color="auto"/>
              <w:right w:val="single" w:sz="8" w:space="0" w:color="auto"/>
            </w:tcBorders>
            <w:noWrap/>
            <w:vAlign w:val="center"/>
            <w:hideMark/>
          </w:tcPr>
          <w:p w14:paraId="5C93EE6B" w14:textId="77777777" w:rsidR="002A58AB" w:rsidRDefault="002A58AB">
            <w:pPr>
              <w:spacing w:after="0" w:line="240" w:lineRule="auto"/>
              <w:jc w:val="both"/>
              <w:rPr>
                <w:rFonts w:cstheme="minorHAnsi"/>
                <w:noProof/>
                <w:sz w:val="20"/>
                <w:szCs w:val="20"/>
              </w:rPr>
            </w:pPr>
            <w:r>
              <w:rPr>
                <w:rFonts w:cstheme="minorHAnsi"/>
                <w:noProof/>
                <w:sz w:val="20"/>
                <w:szCs w:val="20"/>
              </w:rPr>
              <w:t>CoP - F</w:t>
            </w:r>
          </w:p>
        </w:tc>
        <w:tc>
          <w:tcPr>
            <w:tcW w:w="889" w:type="dxa"/>
            <w:tcBorders>
              <w:top w:val="single" w:sz="8" w:space="0" w:color="auto"/>
              <w:left w:val="nil"/>
              <w:bottom w:val="single" w:sz="8" w:space="0" w:color="auto"/>
              <w:right w:val="single" w:sz="8" w:space="0" w:color="auto"/>
            </w:tcBorders>
            <w:noWrap/>
            <w:vAlign w:val="center"/>
            <w:hideMark/>
          </w:tcPr>
          <w:p w14:paraId="322E65F9" w14:textId="77777777" w:rsidR="002A58AB" w:rsidRDefault="002A58AB">
            <w:pPr>
              <w:spacing w:after="0" w:line="240" w:lineRule="auto"/>
              <w:jc w:val="both"/>
              <w:rPr>
                <w:rFonts w:cstheme="minorHAnsi"/>
                <w:noProof/>
                <w:sz w:val="20"/>
                <w:szCs w:val="20"/>
              </w:rPr>
            </w:pPr>
            <w:r>
              <w:rPr>
                <w:rFonts w:cstheme="minorHAnsi"/>
                <w:noProof/>
                <w:sz w:val="20"/>
                <w:szCs w:val="20"/>
              </w:rPr>
              <w:t>CoP - G</w:t>
            </w:r>
          </w:p>
        </w:tc>
        <w:tc>
          <w:tcPr>
            <w:tcW w:w="889" w:type="dxa"/>
            <w:tcBorders>
              <w:top w:val="single" w:sz="8" w:space="0" w:color="auto"/>
              <w:left w:val="nil"/>
              <w:bottom w:val="single" w:sz="8" w:space="0" w:color="auto"/>
              <w:right w:val="single" w:sz="8" w:space="0" w:color="auto"/>
            </w:tcBorders>
            <w:noWrap/>
            <w:vAlign w:val="center"/>
            <w:hideMark/>
          </w:tcPr>
          <w:p w14:paraId="390AD8E6" w14:textId="77777777" w:rsidR="002A58AB" w:rsidRDefault="002A58AB">
            <w:pPr>
              <w:spacing w:after="0" w:line="240" w:lineRule="auto"/>
              <w:jc w:val="both"/>
              <w:rPr>
                <w:rFonts w:cstheme="minorHAnsi"/>
                <w:noProof/>
                <w:sz w:val="20"/>
                <w:szCs w:val="20"/>
              </w:rPr>
            </w:pPr>
            <w:r>
              <w:rPr>
                <w:rFonts w:cstheme="minorHAnsi"/>
                <w:noProof/>
                <w:sz w:val="20"/>
                <w:szCs w:val="20"/>
              </w:rPr>
              <w:t>CoP - H</w:t>
            </w:r>
          </w:p>
        </w:tc>
      </w:tr>
      <w:tr w:rsidR="002A58AB" w14:paraId="6930D1E7" w14:textId="77777777" w:rsidTr="002A58AB">
        <w:trPr>
          <w:trHeight w:val="315"/>
          <w:jc w:val="center"/>
        </w:trPr>
        <w:tc>
          <w:tcPr>
            <w:tcW w:w="890" w:type="dxa"/>
            <w:tcBorders>
              <w:top w:val="nil"/>
              <w:left w:val="single" w:sz="8" w:space="0" w:color="auto"/>
              <w:bottom w:val="single" w:sz="8" w:space="0" w:color="auto"/>
              <w:right w:val="single" w:sz="8" w:space="0" w:color="auto"/>
            </w:tcBorders>
            <w:noWrap/>
            <w:vAlign w:val="center"/>
            <w:hideMark/>
          </w:tcPr>
          <w:p w14:paraId="74289B0B" w14:textId="77777777" w:rsidR="002A58AB" w:rsidRDefault="002A58AB">
            <w:pPr>
              <w:spacing w:after="0" w:line="240" w:lineRule="auto"/>
              <w:jc w:val="both"/>
              <w:rPr>
                <w:rFonts w:cstheme="minorHAnsi"/>
                <w:noProof/>
                <w:sz w:val="20"/>
                <w:szCs w:val="20"/>
              </w:rPr>
            </w:pPr>
            <w:r>
              <w:rPr>
                <w:rFonts w:cstheme="minorHAnsi"/>
                <w:noProof/>
                <w:sz w:val="20"/>
                <w:szCs w:val="20"/>
              </w:rPr>
              <w:t>CoP - A</w:t>
            </w:r>
          </w:p>
        </w:tc>
        <w:tc>
          <w:tcPr>
            <w:tcW w:w="890" w:type="dxa"/>
            <w:tcBorders>
              <w:top w:val="nil"/>
              <w:left w:val="nil"/>
              <w:bottom w:val="single" w:sz="8" w:space="0" w:color="auto"/>
              <w:right w:val="single" w:sz="8" w:space="0" w:color="auto"/>
            </w:tcBorders>
            <w:noWrap/>
            <w:vAlign w:val="bottom"/>
            <w:hideMark/>
          </w:tcPr>
          <w:p w14:paraId="54D0DDAC" w14:textId="77777777" w:rsidR="002A58AB" w:rsidRDefault="002A58AB">
            <w:pPr>
              <w:spacing w:after="0" w:line="240" w:lineRule="auto"/>
              <w:jc w:val="both"/>
              <w:rPr>
                <w:rFonts w:cstheme="minorHAnsi"/>
                <w:noProof/>
                <w:sz w:val="20"/>
                <w:szCs w:val="20"/>
              </w:rPr>
            </w:pPr>
            <w:r>
              <w:rPr>
                <w:rFonts w:ascii="Calibri" w:hAnsi="Calibri" w:cs="Calibri"/>
                <w:color w:val="000000"/>
              </w:rPr>
              <w:t>1</w:t>
            </w:r>
          </w:p>
        </w:tc>
        <w:tc>
          <w:tcPr>
            <w:tcW w:w="890" w:type="dxa"/>
            <w:tcBorders>
              <w:top w:val="nil"/>
              <w:left w:val="nil"/>
              <w:bottom w:val="single" w:sz="8" w:space="0" w:color="auto"/>
              <w:right w:val="single" w:sz="8" w:space="0" w:color="auto"/>
            </w:tcBorders>
            <w:noWrap/>
            <w:vAlign w:val="bottom"/>
            <w:hideMark/>
          </w:tcPr>
          <w:p w14:paraId="6BD4DFE1" w14:textId="77777777" w:rsidR="002A58AB" w:rsidRDefault="002A58AB">
            <w:pPr>
              <w:spacing w:after="0" w:line="240" w:lineRule="auto"/>
              <w:jc w:val="both"/>
              <w:rPr>
                <w:rFonts w:cstheme="minorHAnsi"/>
                <w:noProof/>
                <w:sz w:val="20"/>
                <w:szCs w:val="20"/>
              </w:rPr>
            </w:pPr>
            <w:r>
              <w:rPr>
                <w:rFonts w:ascii="Calibri" w:hAnsi="Calibri" w:cs="Calibri"/>
                <w:color w:val="000000"/>
              </w:rPr>
              <w:t>0,8409</w:t>
            </w:r>
          </w:p>
        </w:tc>
        <w:tc>
          <w:tcPr>
            <w:tcW w:w="889" w:type="dxa"/>
            <w:tcBorders>
              <w:top w:val="nil"/>
              <w:left w:val="nil"/>
              <w:bottom w:val="single" w:sz="8" w:space="0" w:color="auto"/>
              <w:right w:val="single" w:sz="8" w:space="0" w:color="auto"/>
            </w:tcBorders>
            <w:noWrap/>
            <w:vAlign w:val="bottom"/>
            <w:hideMark/>
          </w:tcPr>
          <w:p w14:paraId="609DB71E" w14:textId="77777777" w:rsidR="002A58AB" w:rsidRDefault="002A58AB">
            <w:pPr>
              <w:spacing w:after="0" w:line="240" w:lineRule="auto"/>
              <w:jc w:val="both"/>
              <w:rPr>
                <w:rFonts w:cstheme="minorHAnsi"/>
                <w:noProof/>
                <w:sz w:val="20"/>
                <w:szCs w:val="20"/>
              </w:rPr>
            </w:pPr>
            <w:r>
              <w:rPr>
                <w:rFonts w:ascii="Calibri" w:hAnsi="Calibri" w:cs="Calibri"/>
                <w:color w:val="000000"/>
              </w:rPr>
              <w:t>0,7333</w:t>
            </w:r>
          </w:p>
        </w:tc>
        <w:tc>
          <w:tcPr>
            <w:tcW w:w="889" w:type="dxa"/>
            <w:tcBorders>
              <w:top w:val="nil"/>
              <w:left w:val="nil"/>
              <w:bottom w:val="single" w:sz="8" w:space="0" w:color="auto"/>
              <w:right w:val="single" w:sz="8" w:space="0" w:color="auto"/>
            </w:tcBorders>
            <w:noWrap/>
            <w:vAlign w:val="bottom"/>
            <w:hideMark/>
          </w:tcPr>
          <w:p w14:paraId="1D86E7D2" w14:textId="77777777" w:rsidR="002A58AB" w:rsidRDefault="002A58AB">
            <w:pPr>
              <w:spacing w:after="0" w:line="240" w:lineRule="auto"/>
              <w:jc w:val="both"/>
              <w:rPr>
                <w:rFonts w:cstheme="minorHAnsi"/>
                <w:noProof/>
                <w:sz w:val="20"/>
                <w:szCs w:val="20"/>
              </w:rPr>
            </w:pPr>
            <w:r>
              <w:rPr>
                <w:rFonts w:ascii="Calibri" w:hAnsi="Calibri" w:cs="Calibri"/>
                <w:color w:val="000000"/>
              </w:rPr>
              <w:t>0,8409</w:t>
            </w:r>
          </w:p>
        </w:tc>
        <w:tc>
          <w:tcPr>
            <w:tcW w:w="889" w:type="dxa"/>
            <w:tcBorders>
              <w:top w:val="nil"/>
              <w:left w:val="nil"/>
              <w:bottom w:val="single" w:sz="8" w:space="0" w:color="auto"/>
              <w:right w:val="single" w:sz="8" w:space="0" w:color="auto"/>
            </w:tcBorders>
            <w:noWrap/>
            <w:vAlign w:val="bottom"/>
            <w:hideMark/>
          </w:tcPr>
          <w:p w14:paraId="5B7828AC" w14:textId="77777777" w:rsidR="002A58AB" w:rsidRDefault="002A58AB">
            <w:pPr>
              <w:spacing w:after="0" w:line="240" w:lineRule="auto"/>
              <w:jc w:val="both"/>
              <w:rPr>
                <w:rFonts w:cstheme="minorHAnsi"/>
                <w:noProof/>
                <w:sz w:val="20"/>
                <w:szCs w:val="20"/>
              </w:rPr>
            </w:pPr>
            <w:r>
              <w:rPr>
                <w:rFonts w:ascii="Calibri" w:hAnsi="Calibri" w:cs="Calibri"/>
                <w:color w:val="000000"/>
              </w:rPr>
              <w:t>0,8222</w:t>
            </w:r>
          </w:p>
        </w:tc>
        <w:tc>
          <w:tcPr>
            <w:tcW w:w="889" w:type="dxa"/>
            <w:tcBorders>
              <w:top w:val="nil"/>
              <w:left w:val="nil"/>
              <w:bottom w:val="single" w:sz="8" w:space="0" w:color="auto"/>
              <w:right w:val="single" w:sz="8" w:space="0" w:color="auto"/>
            </w:tcBorders>
            <w:noWrap/>
            <w:vAlign w:val="bottom"/>
            <w:hideMark/>
          </w:tcPr>
          <w:p w14:paraId="2BBD2FF8" w14:textId="77777777" w:rsidR="002A58AB" w:rsidRDefault="002A58AB">
            <w:pPr>
              <w:spacing w:after="0" w:line="240" w:lineRule="auto"/>
              <w:jc w:val="both"/>
              <w:rPr>
                <w:rFonts w:cstheme="minorHAnsi"/>
                <w:noProof/>
                <w:sz w:val="20"/>
                <w:szCs w:val="20"/>
              </w:rPr>
            </w:pPr>
            <w:r>
              <w:rPr>
                <w:rFonts w:ascii="Calibri" w:hAnsi="Calibri" w:cs="Calibri"/>
                <w:color w:val="000000"/>
              </w:rPr>
              <w:t>0,8000</w:t>
            </w:r>
          </w:p>
        </w:tc>
        <w:tc>
          <w:tcPr>
            <w:tcW w:w="889" w:type="dxa"/>
            <w:tcBorders>
              <w:top w:val="nil"/>
              <w:left w:val="nil"/>
              <w:bottom w:val="single" w:sz="8" w:space="0" w:color="auto"/>
              <w:right w:val="single" w:sz="8" w:space="0" w:color="auto"/>
            </w:tcBorders>
            <w:noWrap/>
            <w:vAlign w:val="bottom"/>
            <w:hideMark/>
          </w:tcPr>
          <w:p w14:paraId="13E5FCA3" w14:textId="77777777" w:rsidR="002A58AB" w:rsidRDefault="002A58AB">
            <w:pPr>
              <w:spacing w:after="0" w:line="240" w:lineRule="auto"/>
              <w:jc w:val="both"/>
              <w:rPr>
                <w:rFonts w:cstheme="minorHAnsi"/>
                <w:noProof/>
                <w:sz w:val="20"/>
                <w:szCs w:val="20"/>
              </w:rPr>
            </w:pPr>
            <w:r>
              <w:rPr>
                <w:rFonts w:ascii="Calibri" w:hAnsi="Calibri" w:cs="Calibri"/>
                <w:color w:val="000000"/>
              </w:rPr>
              <w:t>0,8864</w:t>
            </w:r>
          </w:p>
        </w:tc>
        <w:tc>
          <w:tcPr>
            <w:tcW w:w="889" w:type="dxa"/>
            <w:tcBorders>
              <w:top w:val="nil"/>
              <w:left w:val="nil"/>
              <w:bottom w:val="single" w:sz="8" w:space="0" w:color="auto"/>
              <w:right w:val="single" w:sz="8" w:space="0" w:color="auto"/>
            </w:tcBorders>
            <w:noWrap/>
            <w:vAlign w:val="bottom"/>
            <w:hideMark/>
          </w:tcPr>
          <w:p w14:paraId="7919ADE3" w14:textId="77777777" w:rsidR="002A58AB" w:rsidRDefault="002A58AB">
            <w:pPr>
              <w:spacing w:after="0" w:line="240" w:lineRule="auto"/>
              <w:jc w:val="both"/>
              <w:rPr>
                <w:rFonts w:cstheme="minorHAnsi"/>
                <w:noProof/>
                <w:sz w:val="20"/>
                <w:szCs w:val="20"/>
              </w:rPr>
            </w:pPr>
            <w:r>
              <w:rPr>
                <w:rFonts w:ascii="Calibri" w:hAnsi="Calibri" w:cs="Calibri"/>
                <w:color w:val="000000"/>
              </w:rPr>
              <w:t>0,7907</w:t>
            </w:r>
          </w:p>
        </w:tc>
      </w:tr>
      <w:tr w:rsidR="002A58AB" w14:paraId="7BD989F5" w14:textId="77777777" w:rsidTr="002A58AB">
        <w:trPr>
          <w:trHeight w:val="315"/>
          <w:jc w:val="center"/>
        </w:trPr>
        <w:tc>
          <w:tcPr>
            <w:tcW w:w="890" w:type="dxa"/>
            <w:tcBorders>
              <w:top w:val="nil"/>
              <w:left w:val="single" w:sz="8" w:space="0" w:color="auto"/>
              <w:bottom w:val="single" w:sz="8" w:space="0" w:color="auto"/>
              <w:right w:val="single" w:sz="8" w:space="0" w:color="auto"/>
            </w:tcBorders>
            <w:noWrap/>
            <w:vAlign w:val="center"/>
            <w:hideMark/>
          </w:tcPr>
          <w:p w14:paraId="10F16F40" w14:textId="77777777" w:rsidR="002A58AB" w:rsidRDefault="002A58AB">
            <w:pPr>
              <w:spacing w:after="0" w:line="240" w:lineRule="auto"/>
              <w:jc w:val="both"/>
              <w:rPr>
                <w:rFonts w:cstheme="minorHAnsi"/>
                <w:noProof/>
                <w:sz w:val="20"/>
                <w:szCs w:val="20"/>
              </w:rPr>
            </w:pPr>
            <w:r>
              <w:rPr>
                <w:rFonts w:cstheme="minorHAnsi"/>
                <w:noProof/>
                <w:sz w:val="20"/>
                <w:szCs w:val="20"/>
              </w:rPr>
              <w:t>CoP - B</w:t>
            </w:r>
          </w:p>
        </w:tc>
        <w:tc>
          <w:tcPr>
            <w:tcW w:w="890" w:type="dxa"/>
            <w:tcBorders>
              <w:top w:val="nil"/>
              <w:left w:val="nil"/>
              <w:bottom w:val="single" w:sz="8" w:space="0" w:color="auto"/>
              <w:right w:val="single" w:sz="8" w:space="0" w:color="auto"/>
            </w:tcBorders>
            <w:noWrap/>
            <w:vAlign w:val="bottom"/>
            <w:hideMark/>
          </w:tcPr>
          <w:p w14:paraId="1945A60C" w14:textId="77777777" w:rsidR="002A58AB" w:rsidRDefault="002A58AB">
            <w:pPr>
              <w:spacing w:after="0" w:line="240" w:lineRule="auto"/>
              <w:jc w:val="both"/>
              <w:rPr>
                <w:rFonts w:cstheme="minorHAnsi"/>
                <w:noProof/>
                <w:sz w:val="20"/>
                <w:szCs w:val="20"/>
              </w:rPr>
            </w:pPr>
            <w:r>
              <w:rPr>
                <w:rFonts w:ascii="Calibri" w:hAnsi="Calibri" w:cs="Calibri"/>
                <w:color w:val="000000"/>
              </w:rPr>
              <w:t>0,8409</w:t>
            </w:r>
          </w:p>
        </w:tc>
        <w:tc>
          <w:tcPr>
            <w:tcW w:w="890" w:type="dxa"/>
            <w:tcBorders>
              <w:top w:val="nil"/>
              <w:left w:val="nil"/>
              <w:bottom w:val="single" w:sz="8" w:space="0" w:color="auto"/>
              <w:right w:val="single" w:sz="8" w:space="0" w:color="auto"/>
            </w:tcBorders>
            <w:noWrap/>
            <w:vAlign w:val="bottom"/>
            <w:hideMark/>
          </w:tcPr>
          <w:p w14:paraId="1FFFCBE4" w14:textId="77777777" w:rsidR="002A58AB" w:rsidRDefault="002A58AB">
            <w:pPr>
              <w:spacing w:after="0" w:line="240" w:lineRule="auto"/>
              <w:jc w:val="both"/>
              <w:rPr>
                <w:rFonts w:cstheme="minorHAnsi"/>
                <w:noProof/>
                <w:sz w:val="20"/>
                <w:szCs w:val="20"/>
              </w:rPr>
            </w:pPr>
            <w:r>
              <w:rPr>
                <w:rFonts w:ascii="Calibri" w:hAnsi="Calibri" w:cs="Calibri"/>
                <w:color w:val="000000"/>
              </w:rPr>
              <w:t>1</w:t>
            </w:r>
          </w:p>
        </w:tc>
        <w:tc>
          <w:tcPr>
            <w:tcW w:w="889" w:type="dxa"/>
            <w:tcBorders>
              <w:top w:val="nil"/>
              <w:left w:val="nil"/>
              <w:bottom w:val="single" w:sz="8" w:space="0" w:color="auto"/>
              <w:right w:val="single" w:sz="8" w:space="0" w:color="auto"/>
            </w:tcBorders>
            <w:noWrap/>
            <w:vAlign w:val="bottom"/>
            <w:hideMark/>
          </w:tcPr>
          <w:p w14:paraId="333D9FC7" w14:textId="77777777" w:rsidR="002A58AB" w:rsidRDefault="002A58AB">
            <w:pPr>
              <w:spacing w:after="0" w:line="240" w:lineRule="auto"/>
              <w:jc w:val="both"/>
              <w:rPr>
                <w:rFonts w:cstheme="minorHAnsi"/>
                <w:noProof/>
                <w:sz w:val="20"/>
                <w:szCs w:val="20"/>
              </w:rPr>
            </w:pPr>
            <w:r>
              <w:rPr>
                <w:rFonts w:ascii="Calibri" w:hAnsi="Calibri" w:cs="Calibri"/>
                <w:color w:val="000000"/>
              </w:rPr>
              <w:t>0,6591</w:t>
            </w:r>
          </w:p>
        </w:tc>
        <w:tc>
          <w:tcPr>
            <w:tcW w:w="889" w:type="dxa"/>
            <w:tcBorders>
              <w:top w:val="nil"/>
              <w:left w:val="nil"/>
              <w:bottom w:val="single" w:sz="8" w:space="0" w:color="auto"/>
              <w:right w:val="single" w:sz="8" w:space="0" w:color="auto"/>
            </w:tcBorders>
            <w:noWrap/>
            <w:vAlign w:val="bottom"/>
            <w:hideMark/>
          </w:tcPr>
          <w:p w14:paraId="5E2766BD" w14:textId="77777777" w:rsidR="002A58AB" w:rsidRDefault="002A58AB">
            <w:pPr>
              <w:spacing w:after="0" w:line="240" w:lineRule="auto"/>
              <w:jc w:val="both"/>
              <w:rPr>
                <w:rFonts w:cstheme="minorHAnsi"/>
                <w:noProof/>
                <w:sz w:val="20"/>
                <w:szCs w:val="20"/>
              </w:rPr>
            </w:pPr>
            <w:r>
              <w:rPr>
                <w:rFonts w:ascii="Calibri" w:hAnsi="Calibri" w:cs="Calibri"/>
                <w:color w:val="000000"/>
              </w:rPr>
              <w:t>0,7674</w:t>
            </w:r>
          </w:p>
        </w:tc>
        <w:tc>
          <w:tcPr>
            <w:tcW w:w="889" w:type="dxa"/>
            <w:tcBorders>
              <w:top w:val="nil"/>
              <w:left w:val="nil"/>
              <w:bottom w:val="single" w:sz="8" w:space="0" w:color="auto"/>
              <w:right w:val="single" w:sz="8" w:space="0" w:color="auto"/>
            </w:tcBorders>
            <w:noWrap/>
            <w:vAlign w:val="bottom"/>
            <w:hideMark/>
          </w:tcPr>
          <w:p w14:paraId="289D4B82" w14:textId="77777777" w:rsidR="002A58AB" w:rsidRDefault="002A58AB">
            <w:pPr>
              <w:spacing w:after="0" w:line="240" w:lineRule="auto"/>
              <w:jc w:val="both"/>
              <w:rPr>
                <w:rFonts w:cstheme="minorHAnsi"/>
                <w:noProof/>
                <w:sz w:val="20"/>
                <w:szCs w:val="20"/>
              </w:rPr>
            </w:pPr>
            <w:r>
              <w:rPr>
                <w:rFonts w:ascii="Calibri" w:hAnsi="Calibri" w:cs="Calibri"/>
                <w:color w:val="000000"/>
              </w:rPr>
              <w:t>0,7500</w:t>
            </w:r>
          </w:p>
        </w:tc>
        <w:tc>
          <w:tcPr>
            <w:tcW w:w="889" w:type="dxa"/>
            <w:tcBorders>
              <w:top w:val="nil"/>
              <w:left w:val="nil"/>
              <w:bottom w:val="single" w:sz="8" w:space="0" w:color="auto"/>
              <w:right w:val="single" w:sz="8" w:space="0" w:color="auto"/>
            </w:tcBorders>
            <w:noWrap/>
            <w:vAlign w:val="bottom"/>
            <w:hideMark/>
          </w:tcPr>
          <w:p w14:paraId="356694D1" w14:textId="77777777" w:rsidR="002A58AB" w:rsidRDefault="002A58AB">
            <w:pPr>
              <w:spacing w:after="0" w:line="240" w:lineRule="auto"/>
              <w:jc w:val="both"/>
              <w:rPr>
                <w:rFonts w:cstheme="minorHAnsi"/>
                <w:noProof/>
                <w:sz w:val="20"/>
                <w:szCs w:val="20"/>
              </w:rPr>
            </w:pPr>
            <w:r>
              <w:rPr>
                <w:rFonts w:ascii="Calibri" w:hAnsi="Calibri" w:cs="Calibri"/>
                <w:color w:val="000000"/>
              </w:rPr>
              <w:t>0,7273</w:t>
            </w:r>
          </w:p>
        </w:tc>
        <w:tc>
          <w:tcPr>
            <w:tcW w:w="889" w:type="dxa"/>
            <w:tcBorders>
              <w:top w:val="nil"/>
              <w:left w:val="nil"/>
              <w:bottom w:val="single" w:sz="8" w:space="0" w:color="auto"/>
              <w:right w:val="single" w:sz="8" w:space="0" w:color="auto"/>
            </w:tcBorders>
            <w:noWrap/>
            <w:vAlign w:val="bottom"/>
            <w:hideMark/>
          </w:tcPr>
          <w:p w14:paraId="3B67E08E" w14:textId="77777777" w:rsidR="002A58AB" w:rsidRDefault="002A58AB">
            <w:pPr>
              <w:spacing w:after="0" w:line="240" w:lineRule="auto"/>
              <w:jc w:val="both"/>
              <w:rPr>
                <w:rFonts w:cstheme="minorHAnsi"/>
                <w:noProof/>
                <w:sz w:val="20"/>
                <w:szCs w:val="20"/>
              </w:rPr>
            </w:pPr>
            <w:r>
              <w:rPr>
                <w:rFonts w:ascii="Calibri" w:hAnsi="Calibri" w:cs="Calibri"/>
                <w:color w:val="000000"/>
              </w:rPr>
              <w:t>0,8571</w:t>
            </w:r>
          </w:p>
        </w:tc>
        <w:tc>
          <w:tcPr>
            <w:tcW w:w="889" w:type="dxa"/>
            <w:tcBorders>
              <w:top w:val="nil"/>
              <w:left w:val="nil"/>
              <w:bottom w:val="single" w:sz="8" w:space="0" w:color="auto"/>
              <w:right w:val="single" w:sz="8" w:space="0" w:color="auto"/>
            </w:tcBorders>
            <w:noWrap/>
            <w:vAlign w:val="bottom"/>
            <w:hideMark/>
          </w:tcPr>
          <w:p w14:paraId="1B1E7E21" w14:textId="77777777" w:rsidR="002A58AB" w:rsidRDefault="002A58AB">
            <w:pPr>
              <w:spacing w:after="0" w:line="240" w:lineRule="auto"/>
              <w:jc w:val="both"/>
              <w:rPr>
                <w:rFonts w:cstheme="minorHAnsi"/>
                <w:noProof/>
                <w:sz w:val="20"/>
                <w:szCs w:val="20"/>
              </w:rPr>
            </w:pPr>
            <w:r>
              <w:rPr>
                <w:rFonts w:ascii="Calibri" w:hAnsi="Calibri" w:cs="Calibri"/>
                <w:color w:val="000000"/>
              </w:rPr>
              <w:t>0,7561</w:t>
            </w:r>
          </w:p>
        </w:tc>
      </w:tr>
      <w:tr w:rsidR="002A58AB" w14:paraId="60763C33" w14:textId="77777777" w:rsidTr="002A58AB">
        <w:trPr>
          <w:trHeight w:val="315"/>
          <w:jc w:val="center"/>
        </w:trPr>
        <w:tc>
          <w:tcPr>
            <w:tcW w:w="890" w:type="dxa"/>
            <w:tcBorders>
              <w:top w:val="nil"/>
              <w:left w:val="single" w:sz="8" w:space="0" w:color="auto"/>
              <w:bottom w:val="single" w:sz="8" w:space="0" w:color="auto"/>
              <w:right w:val="single" w:sz="8" w:space="0" w:color="auto"/>
            </w:tcBorders>
            <w:noWrap/>
            <w:vAlign w:val="center"/>
            <w:hideMark/>
          </w:tcPr>
          <w:p w14:paraId="638E7144" w14:textId="77777777" w:rsidR="002A58AB" w:rsidRDefault="002A58AB">
            <w:pPr>
              <w:spacing w:after="0" w:line="240" w:lineRule="auto"/>
              <w:jc w:val="both"/>
              <w:rPr>
                <w:rFonts w:cstheme="minorHAnsi"/>
                <w:noProof/>
                <w:sz w:val="20"/>
                <w:szCs w:val="20"/>
              </w:rPr>
            </w:pPr>
            <w:r>
              <w:rPr>
                <w:rFonts w:cstheme="minorHAnsi"/>
                <w:noProof/>
                <w:sz w:val="20"/>
                <w:szCs w:val="20"/>
              </w:rPr>
              <w:t>CoP - C</w:t>
            </w:r>
          </w:p>
        </w:tc>
        <w:tc>
          <w:tcPr>
            <w:tcW w:w="890" w:type="dxa"/>
            <w:tcBorders>
              <w:top w:val="nil"/>
              <w:left w:val="nil"/>
              <w:bottom w:val="single" w:sz="8" w:space="0" w:color="auto"/>
              <w:right w:val="single" w:sz="8" w:space="0" w:color="auto"/>
            </w:tcBorders>
            <w:noWrap/>
            <w:vAlign w:val="bottom"/>
            <w:hideMark/>
          </w:tcPr>
          <w:p w14:paraId="6A9C21E1" w14:textId="77777777" w:rsidR="002A58AB" w:rsidRDefault="002A58AB">
            <w:pPr>
              <w:spacing w:after="0" w:line="240" w:lineRule="auto"/>
              <w:jc w:val="both"/>
              <w:rPr>
                <w:rFonts w:cstheme="minorHAnsi"/>
                <w:noProof/>
                <w:sz w:val="20"/>
                <w:szCs w:val="20"/>
              </w:rPr>
            </w:pPr>
            <w:r>
              <w:rPr>
                <w:rFonts w:ascii="Calibri" w:hAnsi="Calibri" w:cs="Calibri"/>
                <w:color w:val="000000"/>
              </w:rPr>
              <w:t>0,7333</w:t>
            </w:r>
          </w:p>
        </w:tc>
        <w:tc>
          <w:tcPr>
            <w:tcW w:w="890" w:type="dxa"/>
            <w:tcBorders>
              <w:top w:val="nil"/>
              <w:left w:val="nil"/>
              <w:bottom w:val="single" w:sz="8" w:space="0" w:color="auto"/>
              <w:right w:val="single" w:sz="8" w:space="0" w:color="auto"/>
            </w:tcBorders>
            <w:noWrap/>
            <w:vAlign w:val="bottom"/>
            <w:hideMark/>
          </w:tcPr>
          <w:p w14:paraId="02CCAF53" w14:textId="77777777" w:rsidR="002A58AB" w:rsidRDefault="002A58AB">
            <w:pPr>
              <w:spacing w:after="0" w:line="240" w:lineRule="auto"/>
              <w:jc w:val="both"/>
              <w:rPr>
                <w:rFonts w:cstheme="minorHAnsi"/>
                <w:noProof/>
                <w:sz w:val="20"/>
                <w:szCs w:val="20"/>
              </w:rPr>
            </w:pPr>
            <w:r>
              <w:rPr>
                <w:rFonts w:ascii="Calibri" w:hAnsi="Calibri" w:cs="Calibri"/>
                <w:color w:val="000000"/>
              </w:rPr>
              <w:t>0,6591</w:t>
            </w:r>
          </w:p>
        </w:tc>
        <w:tc>
          <w:tcPr>
            <w:tcW w:w="889" w:type="dxa"/>
            <w:tcBorders>
              <w:top w:val="nil"/>
              <w:left w:val="nil"/>
              <w:bottom w:val="single" w:sz="8" w:space="0" w:color="auto"/>
              <w:right w:val="single" w:sz="8" w:space="0" w:color="auto"/>
            </w:tcBorders>
            <w:noWrap/>
            <w:vAlign w:val="bottom"/>
            <w:hideMark/>
          </w:tcPr>
          <w:p w14:paraId="016EBCED" w14:textId="77777777" w:rsidR="002A58AB" w:rsidRDefault="002A58AB">
            <w:pPr>
              <w:spacing w:after="0" w:line="240" w:lineRule="auto"/>
              <w:jc w:val="both"/>
              <w:rPr>
                <w:rFonts w:cstheme="minorHAnsi"/>
                <w:noProof/>
                <w:sz w:val="20"/>
                <w:szCs w:val="20"/>
              </w:rPr>
            </w:pPr>
            <w:r>
              <w:rPr>
                <w:rFonts w:ascii="Calibri" w:hAnsi="Calibri" w:cs="Calibri"/>
                <w:color w:val="000000"/>
              </w:rPr>
              <w:t>1</w:t>
            </w:r>
          </w:p>
        </w:tc>
        <w:tc>
          <w:tcPr>
            <w:tcW w:w="889" w:type="dxa"/>
            <w:tcBorders>
              <w:top w:val="nil"/>
              <w:left w:val="nil"/>
              <w:bottom w:val="single" w:sz="8" w:space="0" w:color="auto"/>
              <w:right w:val="single" w:sz="8" w:space="0" w:color="auto"/>
            </w:tcBorders>
            <w:noWrap/>
            <w:vAlign w:val="bottom"/>
            <w:hideMark/>
          </w:tcPr>
          <w:p w14:paraId="1052854D" w14:textId="77777777" w:rsidR="002A58AB" w:rsidRDefault="002A58AB">
            <w:pPr>
              <w:spacing w:after="0" w:line="240" w:lineRule="auto"/>
              <w:jc w:val="both"/>
              <w:rPr>
                <w:rFonts w:cstheme="minorHAnsi"/>
                <w:noProof/>
                <w:sz w:val="20"/>
                <w:szCs w:val="20"/>
              </w:rPr>
            </w:pPr>
            <w:r>
              <w:rPr>
                <w:rFonts w:ascii="Calibri" w:hAnsi="Calibri" w:cs="Calibri"/>
                <w:color w:val="000000"/>
              </w:rPr>
              <w:t>0,8250</w:t>
            </w:r>
          </w:p>
        </w:tc>
        <w:tc>
          <w:tcPr>
            <w:tcW w:w="889" w:type="dxa"/>
            <w:tcBorders>
              <w:top w:val="nil"/>
              <w:left w:val="nil"/>
              <w:bottom w:val="single" w:sz="8" w:space="0" w:color="auto"/>
              <w:right w:val="single" w:sz="8" w:space="0" w:color="auto"/>
            </w:tcBorders>
            <w:noWrap/>
            <w:vAlign w:val="bottom"/>
            <w:hideMark/>
          </w:tcPr>
          <w:p w14:paraId="48D0A419" w14:textId="77777777" w:rsidR="002A58AB" w:rsidRDefault="002A58AB">
            <w:pPr>
              <w:spacing w:after="0" w:line="240" w:lineRule="auto"/>
              <w:jc w:val="both"/>
              <w:rPr>
                <w:rFonts w:cstheme="minorHAnsi"/>
                <w:noProof/>
                <w:sz w:val="20"/>
                <w:szCs w:val="20"/>
              </w:rPr>
            </w:pPr>
            <w:r>
              <w:rPr>
                <w:rFonts w:ascii="Calibri" w:hAnsi="Calibri" w:cs="Calibri"/>
                <w:color w:val="000000"/>
              </w:rPr>
              <w:t>0,7619</w:t>
            </w:r>
          </w:p>
        </w:tc>
        <w:tc>
          <w:tcPr>
            <w:tcW w:w="889" w:type="dxa"/>
            <w:tcBorders>
              <w:top w:val="nil"/>
              <w:left w:val="nil"/>
              <w:bottom w:val="single" w:sz="8" w:space="0" w:color="auto"/>
              <w:right w:val="single" w:sz="8" w:space="0" w:color="auto"/>
            </w:tcBorders>
            <w:noWrap/>
            <w:vAlign w:val="bottom"/>
            <w:hideMark/>
          </w:tcPr>
          <w:p w14:paraId="07342497" w14:textId="77777777" w:rsidR="002A58AB" w:rsidRDefault="002A58AB">
            <w:pPr>
              <w:spacing w:after="0" w:line="240" w:lineRule="auto"/>
              <w:jc w:val="both"/>
              <w:rPr>
                <w:rFonts w:cstheme="minorHAnsi"/>
                <w:noProof/>
                <w:sz w:val="20"/>
                <w:szCs w:val="20"/>
              </w:rPr>
            </w:pPr>
            <w:r>
              <w:rPr>
                <w:rFonts w:ascii="Calibri" w:hAnsi="Calibri" w:cs="Calibri"/>
                <w:color w:val="000000"/>
              </w:rPr>
              <w:t>0,7805</w:t>
            </w:r>
          </w:p>
        </w:tc>
        <w:tc>
          <w:tcPr>
            <w:tcW w:w="889" w:type="dxa"/>
            <w:tcBorders>
              <w:top w:val="nil"/>
              <w:left w:val="nil"/>
              <w:bottom w:val="single" w:sz="8" w:space="0" w:color="auto"/>
              <w:right w:val="single" w:sz="8" w:space="0" w:color="auto"/>
            </w:tcBorders>
            <w:noWrap/>
            <w:vAlign w:val="bottom"/>
            <w:hideMark/>
          </w:tcPr>
          <w:p w14:paraId="766C61CF" w14:textId="77777777" w:rsidR="002A58AB" w:rsidRDefault="002A58AB">
            <w:pPr>
              <w:spacing w:after="0" w:line="240" w:lineRule="auto"/>
              <w:jc w:val="both"/>
              <w:rPr>
                <w:rFonts w:cstheme="minorHAnsi"/>
                <w:noProof/>
                <w:sz w:val="20"/>
                <w:szCs w:val="20"/>
              </w:rPr>
            </w:pPr>
            <w:r>
              <w:rPr>
                <w:rFonts w:ascii="Calibri" w:hAnsi="Calibri" w:cs="Calibri"/>
                <w:color w:val="000000"/>
              </w:rPr>
              <w:t>0,7045</w:t>
            </w:r>
          </w:p>
        </w:tc>
        <w:tc>
          <w:tcPr>
            <w:tcW w:w="889" w:type="dxa"/>
            <w:tcBorders>
              <w:top w:val="nil"/>
              <w:left w:val="nil"/>
              <w:bottom w:val="single" w:sz="8" w:space="0" w:color="auto"/>
              <w:right w:val="single" w:sz="8" w:space="0" w:color="auto"/>
            </w:tcBorders>
            <w:noWrap/>
            <w:vAlign w:val="bottom"/>
            <w:hideMark/>
          </w:tcPr>
          <w:p w14:paraId="36F141CE" w14:textId="77777777" w:rsidR="002A58AB" w:rsidRDefault="002A58AB">
            <w:pPr>
              <w:spacing w:after="0" w:line="240" w:lineRule="auto"/>
              <w:jc w:val="both"/>
              <w:rPr>
                <w:rFonts w:cstheme="minorHAnsi"/>
                <w:noProof/>
                <w:sz w:val="20"/>
                <w:szCs w:val="20"/>
              </w:rPr>
            </w:pPr>
            <w:r>
              <w:rPr>
                <w:rFonts w:ascii="Calibri" w:hAnsi="Calibri" w:cs="Calibri"/>
                <w:color w:val="000000"/>
              </w:rPr>
              <w:t>0,7250</w:t>
            </w:r>
          </w:p>
        </w:tc>
      </w:tr>
      <w:tr w:rsidR="002A58AB" w14:paraId="47471E71" w14:textId="77777777" w:rsidTr="002A58AB">
        <w:trPr>
          <w:trHeight w:val="315"/>
          <w:jc w:val="center"/>
        </w:trPr>
        <w:tc>
          <w:tcPr>
            <w:tcW w:w="890" w:type="dxa"/>
            <w:tcBorders>
              <w:top w:val="nil"/>
              <w:left w:val="single" w:sz="8" w:space="0" w:color="auto"/>
              <w:bottom w:val="single" w:sz="8" w:space="0" w:color="auto"/>
              <w:right w:val="single" w:sz="8" w:space="0" w:color="auto"/>
            </w:tcBorders>
            <w:noWrap/>
            <w:vAlign w:val="center"/>
            <w:hideMark/>
          </w:tcPr>
          <w:p w14:paraId="32F04B7E" w14:textId="77777777" w:rsidR="002A58AB" w:rsidRDefault="002A58AB">
            <w:pPr>
              <w:spacing w:after="0" w:line="240" w:lineRule="auto"/>
              <w:jc w:val="both"/>
              <w:rPr>
                <w:rFonts w:cstheme="minorHAnsi"/>
                <w:noProof/>
                <w:sz w:val="20"/>
                <w:szCs w:val="20"/>
              </w:rPr>
            </w:pPr>
            <w:r>
              <w:rPr>
                <w:rFonts w:cstheme="minorHAnsi"/>
                <w:noProof/>
                <w:sz w:val="20"/>
                <w:szCs w:val="20"/>
              </w:rPr>
              <w:t>CoP - D</w:t>
            </w:r>
          </w:p>
        </w:tc>
        <w:tc>
          <w:tcPr>
            <w:tcW w:w="890" w:type="dxa"/>
            <w:tcBorders>
              <w:top w:val="nil"/>
              <w:left w:val="nil"/>
              <w:bottom w:val="single" w:sz="8" w:space="0" w:color="auto"/>
              <w:right w:val="single" w:sz="8" w:space="0" w:color="auto"/>
            </w:tcBorders>
            <w:noWrap/>
            <w:vAlign w:val="bottom"/>
            <w:hideMark/>
          </w:tcPr>
          <w:p w14:paraId="478CE7E1" w14:textId="77777777" w:rsidR="002A58AB" w:rsidRDefault="002A58AB">
            <w:pPr>
              <w:spacing w:after="0" w:line="240" w:lineRule="auto"/>
              <w:jc w:val="both"/>
              <w:rPr>
                <w:rFonts w:cstheme="minorHAnsi"/>
                <w:noProof/>
                <w:sz w:val="20"/>
                <w:szCs w:val="20"/>
              </w:rPr>
            </w:pPr>
            <w:r>
              <w:rPr>
                <w:rFonts w:ascii="Calibri" w:hAnsi="Calibri" w:cs="Calibri"/>
                <w:color w:val="000000"/>
              </w:rPr>
              <w:t>0,8409</w:t>
            </w:r>
          </w:p>
        </w:tc>
        <w:tc>
          <w:tcPr>
            <w:tcW w:w="890" w:type="dxa"/>
            <w:tcBorders>
              <w:top w:val="nil"/>
              <w:left w:val="nil"/>
              <w:bottom w:val="single" w:sz="8" w:space="0" w:color="auto"/>
              <w:right w:val="single" w:sz="8" w:space="0" w:color="auto"/>
            </w:tcBorders>
            <w:noWrap/>
            <w:vAlign w:val="bottom"/>
            <w:hideMark/>
          </w:tcPr>
          <w:p w14:paraId="03A88B0B" w14:textId="77777777" w:rsidR="002A58AB" w:rsidRDefault="002A58AB">
            <w:pPr>
              <w:spacing w:after="0" w:line="240" w:lineRule="auto"/>
              <w:jc w:val="both"/>
              <w:rPr>
                <w:rFonts w:cstheme="minorHAnsi"/>
                <w:noProof/>
                <w:sz w:val="20"/>
                <w:szCs w:val="20"/>
              </w:rPr>
            </w:pPr>
            <w:r>
              <w:rPr>
                <w:rFonts w:ascii="Calibri" w:hAnsi="Calibri" w:cs="Calibri"/>
                <w:color w:val="000000"/>
              </w:rPr>
              <w:t>0,7674</w:t>
            </w:r>
          </w:p>
        </w:tc>
        <w:tc>
          <w:tcPr>
            <w:tcW w:w="889" w:type="dxa"/>
            <w:tcBorders>
              <w:top w:val="nil"/>
              <w:left w:val="nil"/>
              <w:bottom w:val="single" w:sz="8" w:space="0" w:color="auto"/>
              <w:right w:val="single" w:sz="8" w:space="0" w:color="auto"/>
            </w:tcBorders>
            <w:noWrap/>
            <w:vAlign w:val="bottom"/>
            <w:hideMark/>
          </w:tcPr>
          <w:p w14:paraId="73EAD27A" w14:textId="77777777" w:rsidR="002A58AB" w:rsidRDefault="002A58AB">
            <w:pPr>
              <w:spacing w:after="0" w:line="240" w:lineRule="auto"/>
              <w:jc w:val="both"/>
              <w:rPr>
                <w:rFonts w:cstheme="minorHAnsi"/>
                <w:noProof/>
                <w:sz w:val="20"/>
                <w:szCs w:val="20"/>
              </w:rPr>
            </w:pPr>
            <w:r>
              <w:rPr>
                <w:rFonts w:ascii="Calibri" w:hAnsi="Calibri" w:cs="Calibri"/>
                <w:color w:val="000000"/>
              </w:rPr>
              <w:t>0,8250</w:t>
            </w:r>
          </w:p>
        </w:tc>
        <w:tc>
          <w:tcPr>
            <w:tcW w:w="889" w:type="dxa"/>
            <w:tcBorders>
              <w:top w:val="nil"/>
              <w:left w:val="nil"/>
              <w:bottom w:val="single" w:sz="8" w:space="0" w:color="auto"/>
              <w:right w:val="single" w:sz="8" w:space="0" w:color="auto"/>
            </w:tcBorders>
            <w:noWrap/>
            <w:vAlign w:val="bottom"/>
            <w:hideMark/>
          </w:tcPr>
          <w:p w14:paraId="129975FA" w14:textId="77777777" w:rsidR="002A58AB" w:rsidRDefault="002A58AB">
            <w:pPr>
              <w:spacing w:after="0" w:line="240" w:lineRule="auto"/>
              <w:jc w:val="both"/>
              <w:rPr>
                <w:rFonts w:cstheme="minorHAnsi"/>
                <w:noProof/>
                <w:sz w:val="20"/>
                <w:szCs w:val="20"/>
              </w:rPr>
            </w:pPr>
            <w:r>
              <w:rPr>
                <w:rFonts w:ascii="Calibri" w:hAnsi="Calibri" w:cs="Calibri"/>
                <w:color w:val="000000"/>
              </w:rPr>
              <w:t>1</w:t>
            </w:r>
          </w:p>
        </w:tc>
        <w:tc>
          <w:tcPr>
            <w:tcW w:w="889" w:type="dxa"/>
            <w:tcBorders>
              <w:top w:val="nil"/>
              <w:left w:val="nil"/>
              <w:bottom w:val="single" w:sz="8" w:space="0" w:color="auto"/>
              <w:right w:val="single" w:sz="8" w:space="0" w:color="auto"/>
            </w:tcBorders>
            <w:noWrap/>
            <w:vAlign w:val="bottom"/>
            <w:hideMark/>
          </w:tcPr>
          <w:p w14:paraId="244FC1C7" w14:textId="77777777" w:rsidR="002A58AB" w:rsidRDefault="002A58AB">
            <w:pPr>
              <w:spacing w:after="0" w:line="240" w:lineRule="auto"/>
              <w:jc w:val="both"/>
              <w:rPr>
                <w:rFonts w:cstheme="minorHAnsi"/>
                <w:noProof/>
                <w:sz w:val="20"/>
                <w:szCs w:val="20"/>
              </w:rPr>
            </w:pPr>
            <w:r>
              <w:rPr>
                <w:rFonts w:ascii="Calibri" w:hAnsi="Calibri" w:cs="Calibri"/>
                <w:color w:val="000000"/>
              </w:rPr>
              <w:t>0,8333</w:t>
            </w:r>
          </w:p>
        </w:tc>
        <w:tc>
          <w:tcPr>
            <w:tcW w:w="889" w:type="dxa"/>
            <w:tcBorders>
              <w:top w:val="nil"/>
              <w:left w:val="nil"/>
              <w:bottom w:val="single" w:sz="8" w:space="0" w:color="auto"/>
              <w:right w:val="single" w:sz="8" w:space="0" w:color="auto"/>
            </w:tcBorders>
            <w:noWrap/>
            <w:vAlign w:val="bottom"/>
            <w:hideMark/>
          </w:tcPr>
          <w:p w14:paraId="22C9AD7C" w14:textId="77777777" w:rsidR="002A58AB" w:rsidRDefault="002A58AB">
            <w:pPr>
              <w:spacing w:after="0" w:line="240" w:lineRule="auto"/>
              <w:jc w:val="both"/>
              <w:rPr>
                <w:rFonts w:cstheme="minorHAnsi"/>
                <w:noProof/>
                <w:sz w:val="20"/>
                <w:szCs w:val="20"/>
              </w:rPr>
            </w:pPr>
            <w:r>
              <w:rPr>
                <w:rFonts w:ascii="Calibri" w:hAnsi="Calibri" w:cs="Calibri"/>
                <w:color w:val="000000"/>
              </w:rPr>
              <w:t>0,8537</w:t>
            </w:r>
          </w:p>
        </w:tc>
        <w:tc>
          <w:tcPr>
            <w:tcW w:w="889" w:type="dxa"/>
            <w:tcBorders>
              <w:top w:val="nil"/>
              <w:left w:val="nil"/>
              <w:bottom w:val="single" w:sz="8" w:space="0" w:color="auto"/>
              <w:right w:val="single" w:sz="8" w:space="0" w:color="auto"/>
            </w:tcBorders>
            <w:noWrap/>
            <w:vAlign w:val="bottom"/>
            <w:hideMark/>
          </w:tcPr>
          <w:p w14:paraId="2E113EBF" w14:textId="77777777" w:rsidR="002A58AB" w:rsidRDefault="002A58AB">
            <w:pPr>
              <w:spacing w:after="0" w:line="240" w:lineRule="auto"/>
              <w:jc w:val="both"/>
              <w:rPr>
                <w:rFonts w:cstheme="minorHAnsi"/>
                <w:noProof/>
                <w:sz w:val="20"/>
                <w:szCs w:val="20"/>
              </w:rPr>
            </w:pPr>
            <w:r>
              <w:rPr>
                <w:rFonts w:ascii="Calibri" w:hAnsi="Calibri" w:cs="Calibri"/>
                <w:color w:val="000000"/>
              </w:rPr>
              <w:t>0,8571</w:t>
            </w:r>
          </w:p>
        </w:tc>
        <w:tc>
          <w:tcPr>
            <w:tcW w:w="889" w:type="dxa"/>
            <w:tcBorders>
              <w:top w:val="nil"/>
              <w:left w:val="nil"/>
              <w:bottom w:val="single" w:sz="8" w:space="0" w:color="auto"/>
              <w:right w:val="single" w:sz="8" w:space="0" w:color="auto"/>
            </w:tcBorders>
            <w:noWrap/>
            <w:vAlign w:val="bottom"/>
            <w:hideMark/>
          </w:tcPr>
          <w:p w14:paraId="66A0F0EA" w14:textId="77777777" w:rsidR="002A58AB" w:rsidRDefault="002A58AB">
            <w:pPr>
              <w:spacing w:after="0" w:line="240" w:lineRule="auto"/>
              <w:jc w:val="both"/>
              <w:rPr>
                <w:rFonts w:cstheme="minorHAnsi"/>
                <w:noProof/>
                <w:sz w:val="20"/>
                <w:szCs w:val="20"/>
              </w:rPr>
            </w:pPr>
            <w:r>
              <w:rPr>
                <w:rFonts w:ascii="Calibri" w:hAnsi="Calibri" w:cs="Calibri"/>
                <w:color w:val="000000"/>
              </w:rPr>
              <w:t>0,7561</w:t>
            </w:r>
          </w:p>
        </w:tc>
      </w:tr>
      <w:tr w:rsidR="002A58AB" w14:paraId="040E496B" w14:textId="77777777" w:rsidTr="002A58AB">
        <w:trPr>
          <w:trHeight w:val="315"/>
          <w:jc w:val="center"/>
        </w:trPr>
        <w:tc>
          <w:tcPr>
            <w:tcW w:w="890" w:type="dxa"/>
            <w:tcBorders>
              <w:top w:val="nil"/>
              <w:left w:val="single" w:sz="8" w:space="0" w:color="auto"/>
              <w:bottom w:val="single" w:sz="8" w:space="0" w:color="auto"/>
              <w:right w:val="single" w:sz="8" w:space="0" w:color="auto"/>
            </w:tcBorders>
            <w:noWrap/>
            <w:vAlign w:val="center"/>
            <w:hideMark/>
          </w:tcPr>
          <w:p w14:paraId="0E67C24D" w14:textId="77777777" w:rsidR="002A58AB" w:rsidRDefault="002A58AB">
            <w:pPr>
              <w:spacing w:after="0" w:line="240" w:lineRule="auto"/>
              <w:jc w:val="both"/>
              <w:rPr>
                <w:rFonts w:cstheme="minorHAnsi"/>
                <w:noProof/>
                <w:sz w:val="20"/>
                <w:szCs w:val="20"/>
              </w:rPr>
            </w:pPr>
            <w:r>
              <w:rPr>
                <w:rFonts w:cstheme="minorHAnsi"/>
                <w:noProof/>
                <w:sz w:val="20"/>
                <w:szCs w:val="20"/>
              </w:rPr>
              <w:t>CoP - E</w:t>
            </w:r>
          </w:p>
        </w:tc>
        <w:tc>
          <w:tcPr>
            <w:tcW w:w="890" w:type="dxa"/>
            <w:tcBorders>
              <w:top w:val="nil"/>
              <w:left w:val="nil"/>
              <w:bottom w:val="single" w:sz="8" w:space="0" w:color="auto"/>
              <w:right w:val="single" w:sz="8" w:space="0" w:color="auto"/>
            </w:tcBorders>
            <w:noWrap/>
            <w:vAlign w:val="bottom"/>
            <w:hideMark/>
          </w:tcPr>
          <w:p w14:paraId="3D95B101" w14:textId="77777777" w:rsidR="002A58AB" w:rsidRDefault="002A58AB">
            <w:pPr>
              <w:spacing w:after="0" w:line="240" w:lineRule="auto"/>
              <w:jc w:val="both"/>
              <w:rPr>
                <w:rFonts w:cstheme="minorHAnsi"/>
                <w:noProof/>
                <w:sz w:val="20"/>
                <w:szCs w:val="20"/>
              </w:rPr>
            </w:pPr>
            <w:r>
              <w:rPr>
                <w:rFonts w:ascii="Calibri" w:hAnsi="Calibri" w:cs="Calibri"/>
                <w:color w:val="000000"/>
              </w:rPr>
              <w:t>0,8222</w:t>
            </w:r>
          </w:p>
        </w:tc>
        <w:tc>
          <w:tcPr>
            <w:tcW w:w="890" w:type="dxa"/>
            <w:tcBorders>
              <w:top w:val="nil"/>
              <w:left w:val="nil"/>
              <w:bottom w:val="single" w:sz="8" w:space="0" w:color="auto"/>
              <w:right w:val="single" w:sz="8" w:space="0" w:color="auto"/>
            </w:tcBorders>
            <w:noWrap/>
            <w:vAlign w:val="bottom"/>
            <w:hideMark/>
          </w:tcPr>
          <w:p w14:paraId="32B45393" w14:textId="77777777" w:rsidR="002A58AB" w:rsidRDefault="002A58AB">
            <w:pPr>
              <w:spacing w:after="0" w:line="240" w:lineRule="auto"/>
              <w:jc w:val="both"/>
              <w:rPr>
                <w:rFonts w:cstheme="minorHAnsi"/>
                <w:noProof/>
                <w:sz w:val="20"/>
                <w:szCs w:val="20"/>
              </w:rPr>
            </w:pPr>
            <w:r>
              <w:rPr>
                <w:rFonts w:ascii="Calibri" w:hAnsi="Calibri" w:cs="Calibri"/>
                <w:color w:val="000000"/>
              </w:rPr>
              <w:t>0,7500</w:t>
            </w:r>
          </w:p>
        </w:tc>
        <w:tc>
          <w:tcPr>
            <w:tcW w:w="889" w:type="dxa"/>
            <w:tcBorders>
              <w:top w:val="nil"/>
              <w:left w:val="nil"/>
              <w:bottom w:val="single" w:sz="8" w:space="0" w:color="auto"/>
              <w:right w:val="single" w:sz="8" w:space="0" w:color="auto"/>
            </w:tcBorders>
            <w:noWrap/>
            <w:vAlign w:val="bottom"/>
            <w:hideMark/>
          </w:tcPr>
          <w:p w14:paraId="4AF6EA92" w14:textId="77777777" w:rsidR="002A58AB" w:rsidRDefault="002A58AB">
            <w:pPr>
              <w:spacing w:after="0" w:line="240" w:lineRule="auto"/>
              <w:jc w:val="both"/>
              <w:rPr>
                <w:rFonts w:cstheme="minorHAnsi"/>
                <w:noProof/>
                <w:sz w:val="20"/>
                <w:szCs w:val="20"/>
              </w:rPr>
            </w:pPr>
            <w:r>
              <w:rPr>
                <w:rFonts w:ascii="Calibri" w:hAnsi="Calibri" w:cs="Calibri"/>
                <w:color w:val="000000"/>
              </w:rPr>
              <w:t>0,7619</w:t>
            </w:r>
          </w:p>
        </w:tc>
        <w:tc>
          <w:tcPr>
            <w:tcW w:w="889" w:type="dxa"/>
            <w:tcBorders>
              <w:top w:val="nil"/>
              <w:left w:val="nil"/>
              <w:bottom w:val="single" w:sz="8" w:space="0" w:color="auto"/>
              <w:right w:val="single" w:sz="8" w:space="0" w:color="auto"/>
            </w:tcBorders>
            <w:noWrap/>
            <w:vAlign w:val="bottom"/>
            <w:hideMark/>
          </w:tcPr>
          <w:p w14:paraId="7D91B768" w14:textId="77777777" w:rsidR="002A58AB" w:rsidRDefault="002A58AB">
            <w:pPr>
              <w:spacing w:after="0" w:line="240" w:lineRule="auto"/>
              <w:jc w:val="both"/>
              <w:rPr>
                <w:rFonts w:cstheme="minorHAnsi"/>
                <w:noProof/>
                <w:sz w:val="20"/>
                <w:szCs w:val="20"/>
              </w:rPr>
            </w:pPr>
            <w:r>
              <w:rPr>
                <w:rFonts w:ascii="Calibri" w:hAnsi="Calibri" w:cs="Calibri"/>
                <w:color w:val="000000"/>
              </w:rPr>
              <w:t>0,8333</w:t>
            </w:r>
          </w:p>
        </w:tc>
        <w:tc>
          <w:tcPr>
            <w:tcW w:w="889" w:type="dxa"/>
            <w:tcBorders>
              <w:top w:val="nil"/>
              <w:left w:val="nil"/>
              <w:bottom w:val="single" w:sz="8" w:space="0" w:color="auto"/>
              <w:right w:val="single" w:sz="8" w:space="0" w:color="auto"/>
            </w:tcBorders>
            <w:noWrap/>
            <w:vAlign w:val="bottom"/>
            <w:hideMark/>
          </w:tcPr>
          <w:p w14:paraId="5A35FEDA" w14:textId="77777777" w:rsidR="002A58AB" w:rsidRDefault="002A58AB">
            <w:pPr>
              <w:spacing w:after="0" w:line="240" w:lineRule="auto"/>
              <w:jc w:val="both"/>
              <w:rPr>
                <w:rFonts w:cstheme="minorHAnsi"/>
                <w:noProof/>
                <w:sz w:val="20"/>
                <w:szCs w:val="20"/>
              </w:rPr>
            </w:pPr>
            <w:r>
              <w:rPr>
                <w:rFonts w:ascii="Calibri" w:hAnsi="Calibri" w:cs="Calibri"/>
                <w:color w:val="000000"/>
              </w:rPr>
              <w:t>1</w:t>
            </w:r>
          </w:p>
        </w:tc>
        <w:tc>
          <w:tcPr>
            <w:tcW w:w="889" w:type="dxa"/>
            <w:tcBorders>
              <w:top w:val="nil"/>
              <w:left w:val="nil"/>
              <w:bottom w:val="single" w:sz="8" w:space="0" w:color="auto"/>
              <w:right w:val="single" w:sz="8" w:space="0" w:color="auto"/>
            </w:tcBorders>
            <w:noWrap/>
            <w:vAlign w:val="bottom"/>
            <w:hideMark/>
          </w:tcPr>
          <w:p w14:paraId="647EC497" w14:textId="77777777" w:rsidR="002A58AB" w:rsidRDefault="002A58AB">
            <w:pPr>
              <w:spacing w:after="0" w:line="240" w:lineRule="auto"/>
              <w:jc w:val="both"/>
              <w:rPr>
                <w:rFonts w:cstheme="minorHAnsi"/>
                <w:noProof/>
                <w:sz w:val="20"/>
                <w:szCs w:val="20"/>
              </w:rPr>
            </w:pPr>
            <w:r>
              <w:rPr>
                <w:rFonts w:ascii="Calibri" w:hAnsi="Calibri" w:cs="Calibri"/>
                <w:color w:val="000000"/>
              </w:rPr>
              <w:t>0,8333</w:t>
            </w:r>
          </w:p>
        </w:tc>
        <w:tc>
          <w:tcPr>
            <w:tcW w:w="889" w:type="dxa"/>
            <w:tcBorders>
              <w:top w:val="nil"/>
              <w:left w:val="nil"/>
              <w:bottom w:val="single" w:sz="8" w:space="0" w:color="auto"/>
              <w:right w:val="single" w:sz="8" w:space="0" w:color="auto"/>
            </w:tcBorders>
            <w:noWrap/>
            <w:vAlign w:val="bottom"/>
            <w:hideMark/>
          </w:tcPr>
          <w:p w14:paraId="6E48B510" w14:textId="77777777" w:rsidR="002A58AB" w:rsidRDefault="002A58AB">
            <w:pPr>
              <w:spacing w:after="0" w:line="240" w:lineRule="auto"/>
              <w:jc w:val="both"/>
              <w:rPr>
                <w:rFonts w:cstheme="minorHAnsi"/>
                <w:noProof/>
                <w:sz w:val="20"/>
                <w:szCs w:val="20"/>
              </w:rPr>
            </w:pPr>
            <w:r>
              <w:rPr>
                <w:rFonts w:ascii="Calibri" w:hAnsi="Calibri" w:cs="Calibri"/>
                <w:color w:val="000000"/>
              </w:rPr>
              <w:t>0,7955</w:t>
            </w:r>
          </w:p>
        </w:tc>
        <w:tc>
          <w:tcPr>
            <w:tcW w:w="889" w:type="dxa"/>
            <w:tcBorders>
              <w:top w:val="nil"/>
              <w:left w:val="nil"/>
              <w:bottom w:val="single" w:sz="8" w:space="0" w:color="auto"/>
              <w:right w:val="single" w:sz="8" w:space="0" w:color="auto"/>
            </w:tcBorders>
            <w:noWrap/>
            <w:vAlign w:val="bottom"/>
            <w:hideMark/>
          </w:tcPr>
          <w:p w14:paraId="76570957" w14:textId="77777777" w:rsidR="002A58AB" w:rsidRDefault="002A58AB">
            <w:pPr>
              <w:spacing w:after="0" w:line="240" w:lineRule="auto"/>
              <w:jc w:val="both"/>
              <w:rPr>
                <w:rFonts w:cstheme="minorHAnsi"/>
                <w:noProof/>
                <w:sz w:val="20"/>
                <w:szCs w:val="20"/>
              </w:rPr>
            </w:pPr>
            <w:r>
              <w:rPr>
                <w:rFonts w:ascii="Calibri" w:hAnsi="Calibri" w:cs="Calibri"/>
                <w:color w:val="000000"/>
              </w:rPr>
              <w:t>0,7381</w:t>
            </w:r>
          </w:p>
        </w:tc>
      </w:tr>
      <w:tr w:rsidR="002A58AB" w14:paraId="753ECDCB" w14:textId="77777777" w:rsidTr="002A58AB">
        <w:trPr>
          <w:trHeight w:val="315"/>
          <w:jc w:val="center"/>
        </w:trPr>
        <w:tc>
          <w:tcPr>
            <w:tcW w:w="890" w:type="dxa"/>
            <w:tcBorders>
              <w:top w:val="nil"/>
              <w:left w:val="single" w:sz="8" w:space="0" w:color="auto"/>
              <w:bottom w:val="single" w:sz="8" w:space="0" w:color="auto"/>
              <w:right w:val="single" w:sz="8" w:space="0" w:color="auto"/>
            </w:tcBorders>
            <w:noWrap/>
            <w:vAlign w:val="center"/>
            <w:hideMark/>
          </w:tcPr>
          <w:p w14:paraId="33233642" w14:textId="77777777" w:rsidR="002A58AB" w:rsidRDefault="002A58AB">
            <w:pPr>
              <w:spacing w:after="0" w:line="240" w:lineRule="auto"/>
              <w:jc w:val="both"/>
              <w:rPr>
                <w:rFonts w:cstheme="minorHAnsi"/>
                <w:noProof/>
                <w:sz w:val="20"/>
                <w:szCs w:val="20"/>
              </w:rPr>
            </w:pPr>
            <w:r>
              <w:rPr>
                <w:rFonts w:cstheme="minorHAnsi"/>
                <w:noProof/>
                <w:sz w:val="20"/>
                <w:szCs w:val="20"/>
              </w:rPr>
              <w:t>CoP - F</w:t>
            </w:r>
          </w:p>
        </w:tc>
        <w:tc>
          <w:tcPr>
            <w:tcW w:w="890" w:type="dxa"/>
            <w:tcBorders>
              <w:top w:val="nil"/>
              <w:left w:val="nil"/>
              <w:bottom w:val="single" w:sz="8" w:space="0" w:color="auto"/>
              <w:right w:val="single" w:sz="8" w:space="0" w:color="auto"/>
            </w:tcBorders>
            <w:noWrap/>
            <w:vAlign w:val="bottom"/>
            <w:hideMark/>
          </w:tcPr>
          <w:p w14:paraId="68E55824" w14:textId="77777777" w:rsidR="002A58AB" w:rsidRDefault="002A58AB">
            <w:pPr>
              <w:spacing w:after="0" w:line="240" w:lineRule="auto"/>
              <w:jc w:val="both"/>
              <w:rPr>
                <w:rFonts w:cstheme="minorHAnsi"/>
                <w:noProof/>
                <w:sz w:val="20"/>
                <w:szCs w:val="20"/>
              </w:rPr>
            </w:pPr>
            <w:r>
              <w:rPr>
                <w:rFonts w:ascii="Calibri" w:hAnsi="Calibri" w:cs="Calibri"/>
                <w:color w:val="000000"/>
              </w:rPr>
              <w:t>0,8000</w:t>
            </w:r>
          </w:p>
        </w:tc>
        <w:tc>
          <w:tcPr>
            <w:tcW w:w="890" w:type="dxa"/>
            <w:tcBorders>
              <w:top w:val="nil"/>
              <w:left w:val="nil"/>
              <w:bottom w:val="single" w:sz="8" w:space="0" w:color="auto"/>
              <w:right w:val="single" w:sz="8" w:space="0" w:color="auto"/>
            </w:tcBorders>
            <w:noWrap/>
            <w:vAlign w:val="bottom"/>
            <w:hideMark/>
          </w:tcPr>
          <w:p w14:paraId="417358EF" w14:textId="77777777" w:rsidR="002A58AB" w:rsidRDefault="002A58AB">
            <w:pPr>
              <w:spacing w:after="0" w:line="240" w:lineRule="auto"/>
              <w:jc w:val="both"/>
              <w:rPr>
                <w:rFonts w:cstheme="minorHAnsi"/>
                <w:noProof/>
                <w:sz w:val="20"/>
                <w:szCs w:val="20"/>
              </w:rPr>
            </w:pPr>
            <w:r>
              <w:rPr>
                <w:rFonts w:ascii="Calibri" w:hAnsi="Calibri" w:cs="Calibri"/>
                <w:color w:val="000000"/>
              </w:rPr>
              <w:t>0,7273</w:t>
            </w:r>
          </w:p>
        </w:tc>
        <w:tc>
          <w:tcPr>
            <w:tcW w:w="889" w:type="dxa"/>
            <w:tcBorders>
              <w:top w:val="nil"/>
              <w:left w:val="nil"/>
              <w:bottom w:val="single" w:sz="8" w:space="0" w:color="auto"/>
              <w:right w:val="single" w:sz="8" w:space="0" w:color="auto"/>
            </w:tcBorders>
            <w:noWrap/>
            <w:vAlign w:val="bottom"/>
            <w:hideMark/>
          </w:tcPr>
          <w:p w14:paraId="0127AC55" w14:textId="77777777" w:rsidR="002A58AB" w:rsidRDefault="002A58AB">
            <w:pPr>
              <w:spacing w:after="0" w:line="240" w:lineRule="auto"/>
              <w:jc w:val="both"/>
              <w:rPr>
                <w:rFonts w:cstheme="minorHAnsi"/>
                <w:noProof/>
                <w:sz w:val="20"/>
                <w:szCs w:val="20"/>
              </w:rPr>
            </w:pPr>
            <w:r>
              <w:rPr>
                <w:rFonts w:ascii="Calibri" w:hAnsi="Calibri" w:cs="Calibri"/>
                <w:color w:val="000000"/>
              </w:rPr>
              <w:t>0,7805</w:t>
            </w:r>
          </w:p>
        </w:tc>
        <w:tc>
          <w:tcPr>
            <w:tcW w:w="889" w:type="dxa"/>
            <w:tcBorders>
              <w:top w:val="nil"/>
              <w:left w:val="nil"/>
              <w:bottom w:val="single" w:sz="8" w:space="0" w:color="auto"/>
              <w:right w:val="single" w:sz="8" w:space="0" w:color="auto"/>
            </w:tcBorders>
            <w:noWrap/>
            <w:vAlign w:val="bottom"/>
            <w:hideMark/>
          </w:tcPr>
          <w:p w14:paraId="6A0AF4BF" w14:textId="77777777" w:rsidR="002A58AB" w:rsidRDefault="002A58AB">
            <w:pPr>
              <w:spacing w:after="0" w:line="240" w:lineRule="auto"/>
              <w:jc w:val="both"/>
              <w:rPr>
                <w:rFonts w:cstheme="minorHAnsi"/>
                <w:noProof/>
                <w:sz w:val="20"/>
                <w:szCs w:val="20"/>
              </w:rPr>
            </w:pPr>
            <w:r>
              <w:rPr>
                <w:rFonts w:ascii="Calibri" w:hAnsi="Calibri" w:cs="Calibri"/>
                <w:color w:val="000000"/>
              </w:rPr>
              <w:t>0,8537</w:t>
            </w:r>
          </w:p>
        </w:tc>
        <w:tc>
          <w:tcPr>
            <w:tcW w:w="889" w:type="dxa"/>
            <w:tcBorders>
              <w:top w:val="nil"/>
              <w:left w:val="nil"/>
              <w:bottom w:val="single" w:sz="8" w:space="0" w:color="auto"/>
              <w:right w:val="single" w:sz="8" w:space="0" w:color="auto"/>
            </w:tcBorders>
            <w:noWrap/>
            <w:vAlign w:val="bottom"/>
            <w:hideMark/>
          </w:tcPr>
          <w:p w14:paraId="415C223F" w14:textId="77777777" w:rsidR="002A58AB" w:rsidRDefault="002A58AB">
            <w:pPr>
              <w:spacing w:after="0" w:line="240" w:lineRule="auto"/>
              <w:jc w:val="both"/>
              <w:rPr>
                <w:rFonts w:cstheme="minorHAnsi"/>
                <w:noProof/>
                <w:sz w:val="20"/>
                <w:szCs w:val="20"/>
              </w:rPr>
            </w:pPr>
            <w:r>
              <w:rPr>
                <w:rFonts w:ascii="Calibri" w:hAnsi="Calibri" w:cs="Calibri"/>
                <w:color w:val="000000"/>
              </w:rPr>
              <w:t>0,8333</w:t>
            </w:r>
          </w:p>
        </w:tc>
        <w:tc>
          <w:tcPr>
            <w:tcW w:w="889" w:type="dxa"/>
            <w:tcBorders>
              <w:top w:val="nil"/>
              <w:left w:val="nil"/>
              <w:bottom w:val="single" w:sz="8" w:space="0" w:color="auto"/>
              <w:right w:val="single" w:sz="8" w:space="0" w:color="auto"/>
            </w:tcBorders>
            <w:noWrap/>
            <w:vAlign w:val="bottom"/>
            <w:hideMark/>
          </w:tcPr>
          <w:p w14:paraId="069AAE8C" w14:textId="77777777" w:rsidR="002A58AB" w:rsidRDefault="002A58AB">
            <w:pPr>
              <w:spacing w:after="0" w:line="240" w:lineRule="auto"/>
              <w:jc w:val="both"/>
              <w:rPr>
                <w:rFonts w:cstheme="minorHAnsi"/>
                <w:noProof/>
                <w:sz w:val="20"/>
                <w:szCs w:val="20"/>
              </w:rPr>
            </w:pPr>
            <w:r>
              <w:rPr>
                <w:rFonts w:ascii="Calibri" w:hAnsi="Calibri" w:cs="Calibri"/>
                <w:color w:val="000000"/>
              </w:rPr>
              <w:t>1</w:t>
            </w:r>
          </w:p>
        </w:tc>
        <w:tc>
          <w:tcPr>
            <w:tcW w:w="889" w:type="dxa"/>
            <w:tcBorders>
              <w:top w:val="nil"/>
              <w:left w:val="nil"/>
              <w:bottom w:val="single" w:sz="8" w:space="0" w:color="auto"/>
              <w:right w:val="single" w:sz="8" w:space="0" w:color="auto"/>
            </w:tcBorders>
            <w:noWrap/>
            <w:vAlign w:val="bottom"/>
            <w:hideMark/>
          </w:tcPr>
          <w:p w14:paraId="7726D44C" w14:textId="77777777" w:rsidR="002A58AB" w:rsidRDefault="002A58AB">
            <w:pPr>
              <w:spacing w:after="0" w:line="240" w:lineRule="auto"/>
              <w:jc w:val="both"/>
              <w:rPr>
                <w:rFonts w:cstheme="minorHAnsi"/>
                <w:noProof/>
                <w:sz w:val="20"/>
                <w:szCs w:val="20"/>
              </w:rPr>
            </w:pPr>
            <w:r>
              <w:rPr>
                <w:rFonts w:ascii="Calibri" w:hAnsi="Calibri" w:cs="Calibri"/>
                <w:color w:val="000000"/>
              </w:rPr>
              <w:t>0,7727</w:t>
            </w:r>
          </w:p>
        </w:tc>
        <w:tc>
          <w:tcPr>
            <w:tcW w:w="889" w:type="dxa"/>
            <w:tcBorders>
              <w:top w:val="nil"/>
              <w:left w:val="nil"/>
              <w:bottom w:val="single" w:sz="8" w:space="0" w:color="auto"/>
              <w:right w:val="single" w:sz="8" w:space="0" w:color="auto"/>
            </w:tcBorders>
            <w:noWrap/>
            <w:vAlign w:val="bottom"/>
            <w:hideMark/>
          </w:tcPr>
          <w:p w14:paraId="27AB6497" w14:textId="77777777" w:rsidR="002A58AB" w:rsidRDefault="002A58AB">
            <w:pPr>
              <w:spacing w:after="0" w:line="240" w:lineRule="auto"/>
              <w:jc w:val="both"/>
              <w:rPr>
                <w:rFonts w:cstheme="minorHAnsi"/>
                <w:noProof/>
                <w:sz w:val="20"/>
                <w:szCs w:val="20"/>
              </w:rPr>
            </w:pPr>
            <w:r>
              <w:rPr>
                <w:rFonts w:ascii="Calibri" w:hAnsi="Calibri" w:cs="Calibri"/>
                <w:color w:val="000000"/>
              </w:rPr>
              <w:t>0,6744</w:t>
            </w:r>
          </w:p>
        </w:tc>
      </w:tr>
      <w:tr w:rsidR="002A58AB" w14:paraId="639AA75D" w14:textId="77777777" w:rsidTr="002A58AB">
        <w:trPr>
          <w:trHeight w:val="315"/>
          <w:jc w:val="center"/>
        </w:trPr>
        <w:tc>
          <w:tcPr>
            <w:tcW w:w="890" w:type="dxa"/>
            <w:tcBorders>
              <w:top w:val="nil"/>
              <w:left w:val="single" w:sz="8" w:space="0" w:color="auto"/>
              <w:bottom w:val="single" w:sz="8" w:space="0" w:color="auto"/>
              <w:right w:val="single" w:sz="8" w:space="0" w:color="auto"/>
            </w:tcBorders>
            <w:noWrap/>
            <w:vAlign w:val="center"/>
            <w:hideMark/>
          </w:tcPr>
          <w:p w14:paraId="0569D5E4" w14:textId="77777777" w:rsidR="002A58AB" w:rsidRDefault="002A58AB">
            <w:pPr>
              <w:spacing w:after="0" w:line="240" w:lineRule="auto"/>
              <w:jc w:val="both"/>
              <w:rPr>
                <w:rFonts w:cstheme="minorHAnsi"/>
                <w:noProof/>
                <w:sz w:val="20"/>
                <w:szCs w:val="20"/>
              </w:rPr>
            </w:pPr>
            <w:r>
              <w:rPr>
                <w:rFonts w:cstheme="minorHAnsi"/>
                <w:noProof/>
                <w:sz w:val="20"/>
                <w:szCs w:val="20"/>
              </w:rPr>
              <w:t>CoP - G</w:t>
            </w:r>
          </w:p>
        </w:tc>
        <w:tc>
          <w:tcPr>
            <w:tcW w:w="890" w:type="dxa"/>
            <w:tcBorders>
              <w:top w:val="nil"/>
              <w:left w:val="nil"/>
              <w:bottom w:val="single" w:sz="8" w:space="0" w:color="auto"/>
              <w:right w:val="single" w:sz="8" w:space="0" w:color="auto"/>
            </w:tcBorders>
            <w:noWrap/>
            <w:vAlign w:val="bottom"/>
            <w:hideMark/>
          </w:tcPr>
          <w:p w14:paraId="483F4A18" w14:textId="77777777" w:rsidR="002A58AB" w:rsidRDefault="002A58AB">
            <w:pPr>
              <w:spacing w:after="0" w:line="240" w:lineRule="auto"/>
              <w:jc w:val="both"/>
              <w:rPr>
                <w:rFonts w:cstheme="minorHAnsi"/>
                <w:noProof/>
                <w:sz w:val="20"/>
                <w:szCs w:val="20"/>
              </w:rPr>
            </w:pPr>
            <w:r>
              <w:rPr>
                <w:rFonts w:ascii="Calibri" w:hAnsi="Calibri" w:cs="Calibri"/>
                <w:color w:val="000000"/>
              </w:rPr>
              <w:t>0,8864</w:t>
            </w:r>
          </w:p>
        </w:tc>
        <w:tc>
          <w:tcPr>
            <w:tcW w:w="890" w:type="dxa"/>
            <w:tcBorders>
              <w:top w:val="nil"/>
              <w:left w:val="nil"/>
              <w:bottom w:val="single" w:sz="8" w:space="0" w:color="auto"/>
              <w:right w:val="single" w:sz="8" w:space="0" w:color="auto"/>
            </w:tcBorders>
            <w:noWrap/>
            <w:vAlign w:val="bottom"/>
            <w:hideMark/>
          </w:tcPr>
          <w:p w14:paraId="3F0A5263" w14:textId="77777777" w:rsidR="002A58AB" w:rsidRDefault="002A58AB">
            <w:pPr>
              <w:spacing w:after="0" w:line="240" w:lineRule="auto"/>
              <w:jc w:val="both"/>
              <w:rPr>
                <w:rFonts w:cstheme="minorHAnsi"/>
                <w:noProof/>
                <w:sz w:val="20"/>
                <w:szCs w:val="20"/>
              </w:rPr>
            </w:pPr>
            <w:r>
              <w:rPr>
                <w:rFonts w:ascii="Calibri" w:hAnsi="Calibri" w:cs="Calibri"/>
                <w:color w:val="000000"/>
              </w:rPr>
              <w:t>0,8571</w:t>
            </w:r>
          </w:p>
        </w:tc>
        <w:tc>
          <w:tcPr>
            <w:tcW w:w="889" w:type="dxa"/>
            <w:tcBorders>
              <w:top w:val="nil"/>
              <w:left w:val="nil"/>
              <w:bottom w:val="single" w:sz="8" w:space="0" w:color="auto"/>
              <w:right w:val="single" w:sz="8" w:space="0" w:color="auto"/>
            </w:tcBorders>
            <w:noWrap/>
            <w:vAlign w:val="bottom"/>
            <w:hideMark/>
          </w:tcPr>
          <w:p w14:paraId="0A076760" w14:textId="77777777" w:rsidR="002A58AB" w:rsidRDefault="002A58AB">
            <w:pPr>
              <w:spacing w:after="0" w:line="240" w:lineRule="auto"/>
              <w:jc w:val="both"/>
              <w:rPr>
                <w:rFonts w:cstheme="minorHAnsi"/>
                <w:noProof/>
                <w:sz w:val="20"/>
                <w:szCs w:val="20"/>
              </w:rPr>
            </w:pPr>
            <w:r>
              <w:rPr>
                <w:rFonts w:ascii="Calibri" w:hAnsi="Calibri" w:cs="Calibri"/>
                <w:color w:val="000000"/>
              </w:rPr>
              <w:t>0,7045</w:t>
            </w:r>
          </w:p>
        </w:tc>
        <w:tc>
          <w:tcPr>
            <w:tcW w:w="889" w:type="dxa"/>
            <w:tcBorders>
              <w:top w:val="nil"/>
              <w:left w:val="nil"/>
              <w:bottom w:val="single" w:sz="8" w:space="0" w:color="auto"/>
              <w:right w:val="single" w:sz="8" w:space="0" w:color="auto"/>
            </w:tcBorders>
            <w:noWrap/>
            <w:vAlign w:val="bottom"/>
            <w:hideMark/>
          </w:tcPr>
          <w:p w14:paraId="59158552" w14:textId="77777777" w:rsidR="002A58AB" w:rsidRDefault="002A58AB">
            <w:pPr>
              <w:spacing w:after="0" w:line="240" w:lineRule="auto"/>
              <w:jc w:val="both"/>
              <w:rPr>
                <w:rFonts w:cstheme="minorHAnsi"/>
                <w:noProof/>
                <w:sz w:val="20"/>
                <w:szCs w:val="20"/>
              </w:rPr>
            </w:pPr>
            <w:r>
              <w:rPr>
                <w:rFonts w:ascii="Calibri" w:hAnsi="Calibri" w:cs="Calibri"/>
                <w:color w:val="000000"/>
              </w:rPr>
              <w:t>0,8571</w:t>
            </w:r>
          </w:p>
        </w:tc>
        <w:tc>
          <w:tcPr>
            <w:tcW w:w="889" w:type="dxa"/>
            <w:tcBorders>
              <w:top w:val="nil"/>
              <w:left w:val="nil"/>
              <w:bottom w:val="single" w:sz="8" w:space="0" w:color="auto"/>
              <w:right w:val="single" w:sz="8" w:space="0" w:color="auto"/>
            </w:tcBorders>
            <w:noWrap/>
            <w:vAlign w:val="bottom"/>
            <w:hideMark/>
          </w:tcPr>
          <w:p w14:paraId="29A88484" w14:textId="77777777" w:rsidR="002A58AB" w:rsidRDefault="002A58AB">
            <w:pPr>
              <w:spacing w:after="0" w:line="240" w:lineRule="auto"/>
              <w:jc w:val="both"/>
              <w:rPr>
                <w:rFonts w:cstheme="minorHAnsi"/>
                <w:noProof/>
                <w:sz w:val="20"/>
                <w:szCs w:val="20"/>
              </w:rPr>
            </w:pPr>
            <w:r>
              <w:rPr>
                <w:rFonts w:ascii="Calibri" w:hAnsi="Calibri" w:cs="Calibri"/>
                <w:color w:val="000000"/>
              </w:rPr>
              <w:t>0,7955</w:t>
            </w:r>
          </w:p>
        </w:tc>
        <w:tc>
          <w:tcPr>
            <w:tcW w:w="889" w:type="dxa"/>
            <w:tcBorders>
              <w:top w:val="nil"/>
              <w:left w:val="nil"/>
              <w:bottom w:val="single" w:sz="8" w:space="0" w:color="auto"/>
              <w:right w:val="single" w:sz="8" w:space="0" w:color="auto"/>
            </w:tcBorders>
            <w:noWrap/>
            <w:vAlign w:val="bottom"/>
            <w:hideMark/>
          </w:tcPr>
          <w:p w14:paraId="40F07ABE" w14:textId="77777777" w:rsidR="002A58AB" w:rsidRDefault="002A58AB">
            <w:pPr>
              <w:spacing w:after="0" w:line="240" w:lineRule="auto"/>
              <w:jc w:val="both"/>
              <w:rPr>
                <w:rFonts w:cstheme="minorHAnsi"/>
                <w:noProof/>
                <w:sz w:val="20"/>
                <w:szCs w:val="20"/>
              </w:rPr>
            </w:pPr>
            <w:r>
              <w:rPr>
                <w:rFonts w:ascii="Calibri" w:hAnsi="Calibri" w:cs="Calibri"/>
                <w:color w:val="000000"/>
              </w:rPr>
              <w:t>0,7727</w:t>
            </w:r>
          </w:p>
        </w:tc>
        <w:tc>
          <w:tcPr>
            <w:tcW w:w="889" w:type="dxa"/>
            <w:tcBorders>
              <w:top w:val="nil"/>
              <w:left w:val="nil"/>
              <w:bottom w:val="single" w:sz="8" w:space="0" w:color="auto"/>
              <w:right w:val="single" w:sz="8" w:space="0" w:color="auto"/>
            </w:tcBorders>
            <w:noWrap/>
            <w:vAlign w:val="bottom"/>
            <w:hideMark/>
          </w:tcPr>
          <w:p w14:paraId="64A1AD1A" w14:textId="77777777" w:rsidR="002A58AB" w:rsidRDefault="002A58AB">
            <w:pPr>
              <w:spacing w:after="0" w:line="240" w:lineRule="auto"/>
              <w:jc w:val="both"/>
              <w:rPr>
                <w:rFonts w:cstheme="minorHAnsi"/>
                <w:noProof/>
                <w:sz w:val="20"/>
                <w:szCs w:val="20"/>
              </w:rPr>
            </w:pPr>
            <w:r>
              <w:rPr>
                <w:rFonts w:ascii="Calibri" w:hAnsi="Calibri" w:cs="Calibri"/>
                <w:color w:val="000000"/>
              </w:rPr>
              <w:t>1</w:t>
            </w:r>
          </w:p>
        </w:tc>
        <w:tc>
          <w:tcPr>
            <w:tcW w:w="889" w:type="dxa"/>
            <w:tcBorders>
              <w:top w:val="nil"/>
              <w:left w:val="nil"/>
              <w:bottom w:val="single" w:sz="8" w:space="0" w:color="auto"/>
              <w:right w:val="single" w:sz="8" w:space="0" w:color="auto"/>
            </w:tcBorders>
            <w:noWrap/>
            <w:vAlign w:val="bottom"/>
            <w:hideMark/>
          </w:tcPr>
          <w:p w14:paraId="297AB5BC" w14:textId="77777777" w:rsidR="002A58AB" w:rsidRDefault="002A58AB">
            <w:pPr>
              <w:spacing w:after="0" w:line="240" w:lineRule="auto"/>
              <w:jc w:val="both"/>
              <w:rPr>
                <w:rFonts w:cstheme="minorHAnsi"/>
                <w:noProof/>
                <w:sz w:val="20"/>
                <w:szCs w:val="20"/>
              </w:rPr>
            </w:pPr>
            <w:r>
              <w:rPr>
                <w:rFonts w:ascii="Calibri" w:hAnsi="Calibri" w:cs="Calibri"/>
                <w:color w:val="000000"/>
              </w:rPr>
              <w:t>0,7619</w:t>
            </w:r>
          </w:p>
        </w:tc>
      </w:tr>
      <w:tr w:rsidR="002A58AB" w14:paraId="7064E463" w14:textId="77777777" w:rsidTr="002A58AB">
        <w:trPr>
          <w:trHeight w:val="315"/>
          <w:jc w:val="center"/>
        </w:trPr>
        <w:tc>
          <w:tcPr>
            <w:tcW w:w="890" w:type="dxa"/>
            <w:tcBorders>
              <w:top w:val="nil"/>
              <w:left w:val="single" w:sz="8" w:space="0" w:color="auto"/>
              <w:bottom w:val="single" w:sz="8" w:space="0" w:color="auto"/>
              <w:right w:val="single" w:sz="8" w:space="0" w:color="auto"/>
            </w:tcBorders>
            <w:noWrap/>
            <w:vAlign w:val="center"/>
            <w:hideMark/>
          </w:tcPr>
          <w:p w14:paraId="3F139239" w14:textId="77777777" w:rsidR="002A58AB" w:rsidRDefault="002A58AB">
            <w:pPr>
              <w:spacing w:after="0" w:line="240" w:lineRule="auto"/>
              <w:jc w:val="both"/>
              <w:rPr>
                <w:rFonts w:cstheme="minorHAnsi"/>
                <w:noProof/>
                <w:sz w:val="20"/>
                <w:szCs w:val="20"/>
              </w:rPr>
            </w:pPr>
            <w:r>
              <w:rPr>
                <w:rFonts w:cstheme="minorHAnsi"/>
                <w:noProof/>
                <w:sz w:val="20"/>
                <w:szCs w:val="20"/>
              </w:rPr>
              <w:t>CoP - H</w:t>
            </w:r>
          </w:p>
        </w:tc>
        <w:tc>
          <w:tcPr>
            <w:tcW w:w="890" w:type="dxa"/>
            <w:tcBorders>
              <w:top w:val="nil"/>
              <w:left w:val="nil"/>
              <w:bottom w:val="single" w:sz="8" w:space="0" w:color="auto"/>
              <w:right w:val="single" w:sz="8" w:space="0" w:color="auto"/>
            </w:tcBorders>
            <w:noWrap/>
            <w:vAlign w:val="bottom"/>
            <w:hideMark/>
          </w:tcPr>
          <w:p w14:paraId="6CDD5CB6" w14:textId="77777777" w:rsidR="002A58AB" w:rsidRDefault="002A58AB">
            <w:pPr>
              <w:spacing w:after="0" w:line="240" w:lineRule="auto"/>
              <w:jc w:val="both"/>
              <w:rPr>
                <w:rFonts w:cstheme="minorHAnsi"/>
                <w:noProof/>
                <w:sz w:val="20"/>
                <w:szCs w:val="20"/>
              </w:rPr>
            </w:pPr>
            <w:r>
              <w:rPr>
                <w:rFonts w:ascii="Calibri" w:hAnsi="Calibri" w:cs="Calibri"/>
                <w:color w:val="000000"/>
              </w:rPr>
              <w:t>0,7907</w:t>
            </w:r>
          </w:p>
        </w:tc>
        <w:tc>
          <w:tcPr>
            <w:tcW w:w="890" w:type="dxa"/>
            <w:tcBorders>
              <w:top w:val="nil"/>
              <w:left w:val="nil"/>
              <w:bottom w:val="single" w:sz="8" w:space="0" w:color="auto"/>
              <w:right w:val="single" w:sz="8" w:space="0" w:color="auto"/>
            </w:tcBorders>
            <w:noWrap/>
            <w:vAlign w:val="bottom"/>
            <w:hideMark/>
          </w:tcPr>
          <w:p w14:paraId="033AA151" w14:textId="77777777" w:rsidR="002A58AB" w:rsidRDefault="002A58AB">
            <w:pPr>
              <w:spacing w:after="0" w:line="240" w:lineRule="auto"/>
              <w:jc w:val="both"/>
              <w:rPr>
                <w:rFonts w:cstheme="minorHAnsi"/>
                <w:noProof/>
                <w:sz w:val="20"/>
                <w:szCs w:val="20"/>
              </w:rPr>
            </w:pPr>
            <w:r>
              <w:rPr>
                <w:rFonts w:ascii="Calibri" w:hAnsi="Calibri" w:cs="Calibri"/>
                <w:color w:val="000000"/>
              </w:rPr>
              <w:t>0,7561</w:t>
            </w:r>
          </w:p>
        </w:tc>
        <w:tc>
          <w:tcPr>
            <w:tcW w:w="889" w:type="dxa"/>
            <w:tcBorders>
              <w:top w:val="nil"/>
              <w:left w:val="nil"/>
              <w:bottom w:val="single" w:sz="8" w:space="0" w:color="auto"/>
              <w:right w:val="single" w:sz="8" w:space="0" w:color="auto"/>
            </w:tcBorders>
            <w:noWrap/>
            <w:vAlign w:val="bottom"/>
            <w:hideMark/>
          </w:tcPr>
          <w:p w14:paraId="7B4B42D1" w14:textId="77777777" w:rsidR="002A58AB" w:rsidRDefault="002A58AB">
            <w:pPr>
              <w:spacing w:after="0" w:line="240" w:lineRule="auto"/>
              <w:jc w:val="both"/>
              <w:rPr>
                <w:rFonts w:cstheme="minorHAnsi"/>
                <w:noProof/>
                <w:sz w:val="20"/>
                <w:szCs w:val="20"/>
              </w:rPr>
            </w:pPr>
            <w:r>
              <w:rPr>
                <w:rFonts w:ascii="Calibri" w:hAnsi="Calibri" w:cs="Calibri"/>
                <w:color w:val="000000"/>
              </w:rPr>
              <w:t>0,7250</w:t>
            </w:r>
          </w:p>
        </w:tc>
        <w:tc>
          <w:tcPr>
            <w:tcW w:w="889" w:type="dxa"/>
            <w:tcBorders>
              <w:top w:val="nil"/>
              <w:left w:val="nil"/>
              <w:bottom w:val="single" w:sz="8" w:space="0" w:color="auto"/>
              <w:right w:val="single" w:sz="8" w:space="0" w:color="auto"/>
            </w:tcBorders>
            <w:noWrap/>
            <w:vAlign w:val="bottom"/>
            <w:hideMark/>
          </w:tcPr>
          <w:p w14:paraId="114F3415" w14:textId="77777777" w:rsidR="002A58AB" w:rsidRDefault="002A58AB">
            <w:pPr>
              <w:spacing w:after="0" w:line="240" w:lineRule="auto"/>
              <w:jc w:val="both"/>
              <w:rPr>
                <w:rFonts w:cstheme="minorHAnsi"/>
                <w:noProof/>
                <w:sz w:val="20"/>
                <w:szCs w:val="20"/>
              </w:rPr>
            </w:pPr>
            <w:r>
              <w:rPr>
                <w:rFonts w:ascii="Calibri" w:hAnsi="Calibri" w:cs="Calibri"/>
                <w:color w:val="000000"/>
              </w:rPr>
              <w:t>0,7561</w:t>
            </w:r>
          </w:p>
        </w:tc>
        <w:tc>
          <w:tcPr>
            <w:tcW w:w="889" w:type="dxa"/>
            <w:tcBorders>
              <w:top w:val="nil"/>
              <w:left w:val="nil"/>
              <w:bottom w:val="single" w:sz="8" w:space="0" w:color="auto"/>
              <w:right w:val="single" w:sz="8" w:space="0" w:color="auto"/>
            </w:tcBorders>
            <w:noWrap/>
            <w:vAlign w:val="bottom"/>
            <w:hideMark/>
          </w:tcPr>
          <w:p w14:paraId="268DC041" w14:textId="77777777" w:rsidR="002A58AB" w:rsidRDefault="002A58AB">
            <w:pPr>
              <w:spacing w:after="0" w:line="240" w:lineRule="auto"/>
              <w:jc w:val="both"/>
              <w:rPr>
                <w:rFonts w:cstheme="minorHAnsi"/>
                <w:noProof/>
                <w:sz w:val="20"/>
                <w:szCs w:val="20"/>
              </w:rPr>
            </w:pPr>
            <w:r>
              <w:rPr>
                <w:rFonts w:ascii="Calibri" w:hAnsi="Calibri" w:cs="Calibri"/>
                <w:color w:val="000000"/>
              </w:rPr>
              <w:t>0,7381</w:t>
            </w:r>
          </w:p>
        </w:tc>
        <w:tc>
          <w:tcPr>
            <w:tcW w:w="889" w:type="dxa"/>
            <w:tcBorders>
              <w:top w:val="nil"/>
              <w:left w:val="nil"/>
              <w:bottom w:val="single" w:sz="8" w:space="0" w:color="auto"/>
              <w:right w:val="single" w:sz="8" w:space="0" w:color="auto"/>
            </w:tcBorders>
            <w:noWrap/>
            <w:vAlign w:val="bottom"/>
            <w:hideMark/>
          </w:tcPr>
          <w:p w14:paraId="2715410D" w14:textId="77777777" w:rsidR="002A58AB" w:rsidRDefault="002A58AB">
            <w:pPr>
              <w:spacing w:after="0" w:line="240" w:lineRule="auto"/>
              <w:jc w:val="both"/>
              <w:rPr>
                <w:rFonts w:cstheme="minorHAnsi"/>
                <w:noProof/>
                <w:sz w:val="20"/>
                <w:szCs w:val="20"/>
              </w:rPr>
            </w:pPr>
            <w:r>
              <w:rPr>
                <w:rFonts w:ascii="Calibri" w:hAnsi="Calibri" w:cs="Calibri"/>
                <w:color w:val="000000"/>
              </w:rPr>
              <w:t>0,6744</w:t>
            </w:r>
          </w:p>
        </w:tc>
        <w:tc>
          <w:tcPr>
            <w:tcW w:w="889" w:type="dxa"/>
            <w:tcBorders>
              <w:top w:val="nil"/>
              <w:left w:val="nil"/>
              <w:bottom w:val="single" w:sz="8" w:space="0" w:color="auto"/>
              <w:right w:val="single" w:sz="8" w:space="0" w:color="auto"/>
            </w:tcBorders>
            <w:noWrap/>
            <w:vAlign w:val="bottom"/>
            <w:hideMark/>
          </w:tcPr>
          <w:p w14:paraId="756D557A" w14:textId="77777777" w:rsidR="002A58AB" w:rsidRDefault="002A58AB">
            <w:pPr>
              <w:spacing w:after="0" w:line="240" w:lineRule="auto"/>
              <w:jc w:val="both"/>
              <w:rPr>
                <w:rFonts w:cstheme="minorHAnsi"/>
                <w:noProof/>
                <w:sz w:val="20"/>
                <w:szCs w:val="20"/>
              </w:rPr>
            </w:pPr>
            <w:r>
              <w:rPr>
                <w:rFonts w:ascii="Calibri" w:hAnsi="Calibri" w:cs="Calibri"/>
                <w:color w:val="000000"/>
              </w:rPr>
              <w:t>0,7619</w:t>
            </w:r>
          </w:p>
        </w:tc>
        <w:tc>
          <w:tcPr>
            <w:tcW w:w="889" w:type="dxa"/>
            <w:tcBorders>
              <w:top w:val="nil"/>
              <w:left w:val="nil"/>
              <w:bottom w:val="single" w:sz="8" w:space="0" w:color="auto"/>
              <w:right w:val="single" w:sz="8" w:space="0" w:color="auto"/>
            </w:tcBorders>
            <w:noWrap/>
            <w:vAlign w:val="bottom"/>
            <w:hideMark/>
          </w:tcPr>
          <w:p w14:paraId="7E752DA4" w14:textId="77777777" w:rsidR="002A58AB" w:rsidRDefault="002A58AB">
            <w:pPr>
              <w:spacing w:after="0" w:line="240" w:lineRule="auto"/>
              <w:jc w:val="both"/>
              <w:rPr>
                <w:rFonts w:cstheme="minorHAnsi"/>
                <w:noProof/>
                <w:sz w:val="20"/>
                <w:szCs w:val="20"/>
              </w:rPr>
            </w:pPr>
            <w:r>
              <w:rPr>
                <w:rFonts w:ascii="Calibri" w:hAnsi="Calibri" w:cs="Calibri"/>
                <w:color w:val="000000"/>
              </w:rPr>
              <w:t>1</w:t>
            </w:r>
          </w:p>
        </w:tc>
      </w:tr>
    </w:tbl>
    <w:p w14:paraId="15130C32" w14:textId="77777777" w:rsidR="00907C44" w:rsidRDefault="00907C44" w:rsidP="005E5A93">
      <w:pPr>
        <w:spacing w:after="0" w:line="240" w:lineRule="auto"/>
        <w:jc w:val="both"/>
        <w:rPr>
          <w:rFonts w:eastAsiaTheme="minorEastAsia" w:cstheme="minorHAnsi"/>
          <w:noProof/>
          <w:sz w:val="24"/>
          <w:szCs w:val="24"/>
        </w:rPr>
      </w:pPr>
    </w:p>
    <w:p w14:paraId="5EA30B52" w14:textId="77777777" w:rsidR="00324843" w:rsidRDefault="00324843" w:rsidP="005E5A93">
      <w:pPr>
        <w:spacing w:after="0" w:line="240" w:lineRule="auto"/>
        <w:jc w:val="both"/>
        <w:rPr>
          <w:rFonts w:cstheme="minorHAnsi"/>
          <w:noProof/>
          <w:sz w:val="24"/>
          <w:szCs w:val="24"/>
        </w:rPr>
      </w:pPr>
    </w:p>
    <w:p w14:paraId="6085FA4C" w14:textId="0FC13F14" w:rsidR="009D6323" w:rsidRPr="00956007" w:rsidRDefault="00C61B42" w:rsidP="009F22E3">
      <w:pPr>
        <w:spacing w:after="0" w:line="240" w:lineRule="auto"/>
        <w:jc w:val="both"/>
        <w:rPr>
          <w:rFonts w:cstheme="minorHAnsi"/>
          <w:noProof/>
          <w:sz w:val="24"/>
          <w:szCs w:val="24"/>
        </w:rPr>
      </w:pPr>
      <w:r>
        <w:rPr>
          <w:rFonts w:cstheme="minorHAnsi"/>
          <w:noProof/>
          <w:sz w:val="24"/>
          <w:szCs w:val="24"/>
        </w:rPr>
        <w:t>Las</w:t>
      </w:r>
      <w:r w:rsidR="009F22E3">
        <w:rPr>
          <w:rFonts w:cstheme="minorHAnsi"/>
          <w:noProof/>
          <w:sz w:val="24"/>
          <w:szCs w:val="24"/>
        </w:rPr>
        <w:t xml:space="preserve"> relaciones de mayor similiaridad se evidencian entre </w:t>
      </w:r>
      <w:r w:rsidR="00FE5D74">
        <w:rPr>
          <w:rFonts w:cstheme="minorHAnsi"/>
          <w:noProof/>
          <w:sz w:val="24"/>
          <w:szCs w:val="24"/>
        </w:rPr>
        <w:t xml:space="preserve">la </w:t>
      </w:r>
      <w:r w:rsidR="009F22E3">
        <w:rPr>
          <w:rFonts w:cstheme="minorHAnsi"/>
          <w:noProof/>
          <w:sz w:val="24"/>
          <w:szCs w:val="24"/>
        </w:rPr>
        <w:t>CoP A y G</w:t>
      </w:r>
      <w:r w:rsidR="00CC0292">
        <w:rPr>
          <w:rFonts w:cstheme="minorHAnsi"/>
          <w:noProof/>
          <w:sz w:val="24"/>
          <w:szCs w:val="24"/>
        </w:rPr>
        <w:t>,</w:t>
      </w:r>
      <w:r w:rsidR="009F22E3">
        <w:rPr>
          <w:rFonts w:cstheme="minorHAnsi"/>
          <w:noProof/>
          <w:sz w:val="24"/>
          <w:szCs w:val="24"/>
        </w:rPr>
        <w:t xml:space="preserve"> con </w:t>
      </w:r>
      <m:oMath>
        <m:r>
          <w:rPr>
            <w:rFonts w:ascii="Cambria Math" w:hAnsi="Cambria Math" w:cstheme="minorHAnsi"/>
            <w:noProof/>
            <w:sz w:val="24"/>
            <w:szCs w:val="24"/>
          </w:rPr>
          <m:t>iJ=0,8864</m:t>
        </m:r>
      </m:oMath>
      <w:r w:rsidR="009F22E3">
        <w:rPr>
          <w:rFonts w:eastAsiaTheme="minorEastAsia" w:cstheme="minorHAnsi"/>
          <w:noProof/>
          <w:sz w:val="24"/>
          <w:szCs w:val="24"/>
        </w:rPr>
        <w:t xml:space="preserve"> teniendo 38 categorías de la </w:t>
      </w:r>
      <w:r w:rsidR="0081080C">
        <w:rPr>
          <w:rFonts w:eastAsiaTheme="minorEastAsia" w:cstheme="minorHAnsi"/>
          <w:noProof/>
          <w:sz w:val="24"/>
          <w:szCs w:val="24"/>
        </w:rPr>
        <w:t>EE</w:t>
      </w:r>
      <w:r w:rsidR="009F22E3">
        <w:rPr>
          <w:rFonts w:eastAsiaTheme="minorEastAsia" w:cstheme="minorHAnsi"/>
          <w:noProof/>
          <w:sz w:val="24"/>
          <w:szCs w:val="24"/>
        </w:rPr>
        <w:t xml:space="preserve"> citadas en ambas comunidades y 6 no cumunes. Las CoP de menor índice de similaridad son las CoP B y C con un </w:t>
      </w:r>
      <m:oMath>
        <m:r>
          <w:rPr>
            <w:rFonts w:ascii="Cambria Math" w:hAnsi="Cambria Math" w:cstheme="minorHAnsi"/>
            <w:noProof/>
            <w:sz w:val="24"/>
            <w:szCs w:val="24"/>
          </w:rPr>
          <m:t>iJ=0,6591</m:t>
        </m:r>
      </m:oMath>
      <w:r w:rsidR="009F22E3">
        <w:rPr>
          <w:rFonts w:eastAsiaTheme="minorEastAsia" w:cstheme="minorHAnsi"/>
          <w:noProof/>
          <w:sz w:val="24"/>
          <w:szCs w:val="24"/>
        </w:rPr>
        <w:t>, estas dos comunidades pose</w:t>
      </w:r>
      <w:r w:rsidR="00C71627">
        <w:rPr>
          <w:rFonts w:eastAsiaTheme="minorEastAsia" w:cstheme="minorHAnsi"/>
          <w:noProof/>
          <w:sz w:val="24"/>
          <w:szCs w:val="24"/>
        </w:rPr>
        <w:t>n</w:t>
      </w:r>
      <w:r w:rsidR="009F22E3">
        <w:rPr>
          <w:rFonts w:eastAsiaTheme="minorEastAsia" w:cstheme="minorHAnsi"/>
          <w:noProof/>
          <w:sz w:val="24"/>
          <w:szCs w:val="24"/>
        </w:rPr>
        <w:t xml:space="preserve"> 29 categorías comunes y 16 no comunes. </w:t>
      </w:r>
    </w:p>
    <w:p w14:paraId="3AD14C9F" w14:textId="584FBE6D" w:rsidR="008C2C8B" w:rsidRDefault="008C2C8B" w:rsidP="004F3E94">
      <w:pPr>
        <w:spacing w:after="0" w:line="240" w:lineRule="auto"/>
        <w:rPr>
          <w:rFonts w:cstheme="minorHAnsi"/>
          <w:noProof/>
          <w:sz w:val="24"/>
          <w:szCs w:val="24"/>
        </w:rPr>
      </w:pPr>
    </w:p>
    <w:p w14:paraId="06495369" w14:textId="615C6D48" w:rsidR="00321C01" w:rsidRDefault="00321C01" w:rsidP="004F3E94">
      <w:pPr>
        <w:spacing w:after="0" w:line="240" w:lineRule="auto"/>
        <w:rPr>
          <w:rFonts w:cstheme="minorHAnsi"/>
          <w:b/>
          <w:noProof/>
          <w:sz w:val="24"/>
          <w:szCs w:val="24"/>
        </w:rPr>
      </w:pPr>
      <w:r w:rsidRPr="00F833D5">
        <w:rPr>
          <w:rFonts w:cstheme="minorHAnsi"/>
          <w:b/>
          <w:noProof/>
          <w:sz w:val="24"/>
          <w:szCs w:val="24"/>
        </w:rPr>
        <w:t>Conclusiones</w:t>
      </w:r>
    </w:p>
    <w:p w14:paraId="31D93DE5" w14:textId="77777777" w:rsidR="00372948" w:rsidRPr="00F833D5" w:rsidRDefault="00372948" w:rsidP="004F3E94">
      <w:pPr>
        <w:spacing w:after="0" w:line="240" w:lineRule="auto"/>
        <w:rPr>
          <w:rFonts w:cstheme="minorHAnsi"/>
          <w:b/>
          <w:noProof/>
          <w:sz w:val="24"/>
          <w:szCs w:val="24"/>
        </w:rPr>
      </w:pPr>
    </w:p>
    <w:p w14:paraId="4F81827F" w14:textId="10FCBBCC" w:rsidR="008C2C8B" w:rsidRDefault="00347FD2" w:rsidP="00347FD2">
      <w:pPr>
        <w:spacing w:after="0" w:line="240" w:lineRule="auto"/>
        <w:jc w:val="both"/>
        <w:rPr>
          <w:rFonts w:cstheme="minorHAnsi"/>
          <w:noProof/>
          <w:sz w:val="24"/>
          <w:szCs w:val="24"/>
        </w:rPr>
      </w:pPr>
      <w:r>
        <w:rPr>
          <w:rFonts w:cstheme="minorHAnsi"/>
          <w:noProof/>
          <w:sz w:val="24"/>
          <w:szCs w:val="24"/>
        </w:rPr>
        <w:t xml:space="preserve">La metodología seguida en la investigación permitió establecer los códigos que marcan tendencias en los diferentes frentes de investigación en la </w:t>
      </w:r>
      <w:r w:rsidR="0081080C">
        <w:rPr>
          <w:rFonts w:cstheme="minorHAnsi"/>
          <w:noProof/>
          <w:sz w:val="24"/>
          <w:szCs w:val="24"/>
        </w:rPr>
        <w:t>EE</w:t>
      </w:r>
      <w:r>
        <w:rPr>
          <w:rFonts w:cstheme="minorHAnsi"/>
          <w:noProof/>
          <w:sz w:val="24"/>
          <w:szCs w:val="24"/>
        </w:rPr>
        <w:t>,</w:t>
      </w:r>
      <w:r w:rsidR="006660A6">
        <w:rPr>
          <w:rFonts w:cstheme="minorHAnsi"/>
          <w:noProof/>
          <w:sz w:val="24"/>
          <w:szCs w:val="24"/>
        </w:rPr>
        <w:t xml:space="preserve"> ellos son:</w:t>
      </w:r>
      <w:r>
        <w:rPr>
          <w:rFonts w:cstheme="minorHAnsi"/>
          <w:noProof/>
          <w:sz w:val="24"/>
          <w:szCs w:val="24"/>
        </w:rPr>
        <w:t xml:space="preserve"> </w:t>
      </w:r>
      <w:r w:rsidR="00372948" w:rsidRPr="00956007">
        <w:rPr>
          <w:rFonts w:cstheme="minorHAnsi"/>
          <w:noProof/>
          <w:sz w:val="24"/>
          <w:szCs w:val="24"/>
        </w:rPr>
        <w:t>didáctica, apredendizaje, TIC, psicología y ciencias básicas, competencias y habilidades blanda</w:t>
      </w:r>
      <w:r w:rsidR="006660A6">
        <w:rPr>
          <w:rFonts w:cstheme="minorHAnsi"/>
          <w:noProof/>
          <w:sz w:val="24"/>
          <w:szCs w:val="24"/>
        </w:rPr>
        <w:t>s</w:t>
      </w:r>
      <w:r w:rsidR="00372948">
        <w:rPr>
          <w:rFonts w:cstheme="minorHAnsi"/>
          <w:noProof/>
          <w:sz w:val="24"/>
          <w:szCs w:val="24"/>
        </w:rPr>
        <w:t xml:space="preserve">. </w:t>
      </w:r>
      <w:r w:rsidR="00C94BD4">
        <w:rPr>
          <w:rFonts w:cstheme="minorHAnsi"/>
          <w:noProof/>
          <w:sz w:val="24"/>
          <w:szCs w:val="24"/>
        </w:rPr>
        <w:t>De igual modo se obtuvo el comportamiento de ausencia/presencia de un conjunto de 25 categorías a través de un gráfico tridimensional que correlaciona frecuencias de citaciones normalizadas, comparación de la categorías por CoP y el comportamiento con otras categorías en su misma CoP.</w:t>
      </w:r>
    </w:p>
    <w:p w14:paraId="14446781" w14:textId="2B640E60" w:rsidR="00356B1B" w:rsidRDefault="00356B1B" w:rsidP="00347FD2">
      <w:pPr>
        <w:spacing w:after="0" w:line="240" w:lineRule="auto"/>
        <w:jc w:val="both"/>
        <w:rPr>
          <w:rFonts w:cstheme="minorHAnsi"/>
          <w:noProof/>
          <w:sz w:val="24"/>
          <w:szCs w:val="24"/>
        </w:rPr>
      </w:pPr>
      <w:r>
        <w:rPr>
          <w:rFonts w:cstheme="minorHAnsi"/>
          <w:noProof/>
          <w:sz w:val="24"/>
          <w:szCs w:val="24"/>
        </w:rPr>
        <w:t xml:space="preserve">El cálculo del índice de similaridad de Jaccard </w:t>
      </w:r>
      <w:r w:rsidR="00293B65">
        <w:rPr>
          <w:rFonts w:cstheme="minorHAnsi"/>
          <w:noProof/>
          <w:sz w:val="24"/>
          <w:szCs w:val="24"/>
        </w:rPr>
        <w:t>obtenido brinda información acerca de los niveles de j</w:t>
      </w:r>
      <w:r w:rsidR="006C1CB8">
        <w:rPr>
          <w:rFonts w:cstheme="minorHAnsi"/>
          <w:noProof/>
          <w:sz w:val="24"/>
          <w:szCs w:val="24"/>
        </w:rPr>
        <w:t xml:space="preserve">erarquía otorgados en cada CoP, lo cual permite hacer inferencias como punto de partida para otras investigaciones. </w:t>
      </w:r>
      <w:r>
        <w:rPr>
          <w:rFonts w:cstheme="minorHAnsi"/>
          <w:noProof/>
          <w:sz w:val="24"/>
          <w:szCs w:val="24"/>
        </w:rPr>
        <w:t xml:space="preserve"> </w:t>
      </w:r>
    </w:p>
    <w:p w14:paraId="5E96862C" w14:textId="699A94E3" w:rsidR="005F2ACD" w:rsidRDefault="005F2ACD" w:rsidP="004F3E94">
      <w:pPr>
        <w:spacing w:after="0" w:line="240" w:lineRule="auto"/>
        <w:rPr>
          <w:rFonts w:cstheme="minorHAnsi"/>
          <w:noProof/>
          <w:sz w:val="24"/>
          <w:szCs w:val="24"/>
        </w:rPr>
      </w:pPr>
    </w:p>
    <w:p w14:paraId="102219C7" w14:textId="77777777" w:rsidR="002A58AB" w:rsidRDefault="002A58AB" w:rsidP="002A58AB">
      <w:pPr>
        <w:spacing w:after="0" w:line="240" w:lineRule="auto"/>
        <w:rPr>
          <w:rFonts w:cstheme="minorHAnsi"/>
          <w:b/>
          <w:noProof/>
          <w:sz w:val="24"/>
          <w:szCs w:val="24"/>
        </w:rPr>
      </w:pPr>
      <w:r>
        <w:rPr>
          <w:rFonts w:cstheme="minorHAnsi"/>
          <w:b/>
          <w:noProof/>
          <w:sz w:val="24"/>
          <w:szCs w:val="24"/>
        </w:rPr>
        <w:t xml:space="preserve">Referencias Bibliográficas  </w:t>
      </w:r>
    </w:p>
    <w:p w14:paraId="0743B05A" w14:textId="77777777" w:rsidR="002A58AB" w:rsidRDefault="002A58AB" w:rsidP="002A58AB">
      <w:pPr>
        <w:spacing w:after="0" w:line="240" w:lineRule="auto"/>
        <w:rPr>
          <w:rFonts w:cstheme="minorHAnsi"/>
          <w:noProof/>
          <w:sz w:val="24"/>
          <w:szCs w:val="24"/>
        </w:rPr>
      </w:pPr>
    </w:p>
    <w:p w14:paraId="1300A6E8"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222222"/>
          <w:sz w:val="24"/>
          <w:szCs w:val="24"/>
          <w:shd w:val="clear" w:color="auto" w:fill="FFFFFF"/>
        </w:rPr>
      </w:pPr>
      <w:r w:rsidRPr="00833BA0">
        <w:rPr>
          <w:rFonts w:cstheme="minorHAnsi"/>
          <w:color w:val="222222"/>
          <w:sz w:val="24"/>
          <w:szCs w:val="24"/>
          <w:shd w:val="clear" w:color="auto" w:fill="FFFFFF"/>
        </w:rPr>
        <w:t xml:space="preserve">Abele, E., et al. (2015). </w:t>
      </w:r>
      <w:proofErr w:type="spellStart"/>
      <w:r w:rsidRPr="00833BA0">
        <w:rPr>
          <w:rFonts w:cstheme="minorHAnsi"/>
          <w:color w:val="222222"/>
          <w:sz w:val="24"/>
          <w:szCs w:val="24"/>
          <w:shd w:val="clear" w:color="auto" w:fill="FFFFFF"/>
        </w:rPr>
        <w:t>Learning</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factories</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for</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research</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education</w:t>
      </w:r>
      <w:proofErr w:type="spellEnd"/>
      <w:r w:rsidRPr="00833BA0">
        <w:rPr>
          <w:rFonts w:cstheme="minorHAnsi"/>
          <w:color w:val="222222"/>
          <w:sz w:val="24"/>
          <w:szCs w:val="24"/>
          <w:shd w:val="clear" w:color="auto" w:fill="FFFFFF"/>
        </w:rPr>
        <w:t>, and training. </w:t>
      </w:r>
      <w:proofErr w:type="spellStart"/>
      <w:r w:rsidRPr="00833BA0">
        <w:rPr>
          <w:rFonts w:cstheme="minorHAnsi"/>
          <w:iCs/>
          <w:color w:val="222222"/>
          <w:sz w:val="24"/>
          <w:szCs w:val="24"/>
          <w:shd w:val="clear" w:color="auto" w:fill="FFFFFF"/>
        </w:rPr>
        <w:t>Procedia</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CiRp</w:t>
      </w:r>
      <w:proofErr w:type="spellEnd"/>
      <w:r w:rsidRPr="00833BA0">
        <w:rPr>
          <w:rFonts w:cstheme="minorHAnsi"/>
          <w:color w:val="222222"/>
          <w:sz w:val="24"/>
          <w:szCs w:val="24"/>
          <w:shd w:val="clear" w:color="auto" w:fill="FFFFFF"/>
        </w:rPr>
        <w:t>, </w:t>
      </w:r>
      <w:r w:rsidRPr="00833BA0">
        <w:rPr>
          <w:rFonts w:cstheme="minorHAnsi"/>
          <w:iCs/>
          <w:color w:val="222222"/>
          <w:sz w:val="24"/>
          <w:szCs w:val="24"/>
          <w:shd w:val="clear" w:color="auto" w:fill="FFFFFF"/>
        </w:rPr>
        <w:t>32</w:t>
      </w:r>
      <w:r w:rsidRPr="00833BA0">
        <w:rPr>
          <w:rFonts w:cstheme="minorHAnsi"/>
          <w:color w:val="222222"/>
          <w:sz w:val="24"/>
          <w:szCs w:val="24"/>
          <w:shd w:val="clear" w:color="auto" w:fill="FFFFFF"/>
        </w:rPr>
        <w:t>, 1-6.</w:t>
      </w:r>
    </w:p>
    <w:p w14:paraId="1B0FD771"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proofErr w:type="spellStart"/>
      <w:r w:rsidRPr="00833BA0">
        <w:rPr>
          <w:rFonts w:cstheme="minorHAnsi"/>
          <w:color w:val="222222"/>
          <w:sz w:val="24"/>
          <w:szCs w:val="24"/>
          <w:shd w:val="clear" w:color="auto" w:fill="FFFFFF"/>
        </w:rPr>
        <w:t>Aslaksen</w:t>
      </w:r>
      <w:proofErr w:type="spellEnd"/>
      <w:r w:rsidRPr="00833BA0">
        <w:rPr>
          <w:rFonts w:cstheme="minorHAnsi"/>
          <w:color w:val="222222"/>
          <w:sz w:val="24"/>
          <w:szCs w:val="24"/>
          <w:shd w:val="clear" w:color="auto" w:fill="FFFFFF"/>
        </w:rPr>
        <w:t xml:space="preserve">, E. W. (2015, </w:t>
      </w:r>
      <w:proofErr w:type="spellStart"/>
      <w:r w:rsidRPr="00833BA0">
        <w:rPr>
          <w:rFonts w:cstheme="minorHAnsi"/>
          <w:color w:val="222222"/>
          <w:sz w:val="24"/>
          <w:szCs w:val="24"/>
          <w:shd w:val="clear" w:color="auto" w:fill="FFFFFF"/>
        </w:rPr>
        <w:t>January</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The</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relationship</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between</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engineers</w:t>
      </w:r>
      <w:proofErr w:type="spellEnd"/>
      <w:r w:rsidRPr="00833BA0">
        <w:rPr>
          <w:rFonts w:cstheme="minorHAnsi"/>
          <w:color w:val="222222"/>
          <w:sz w:val="24"/>
          <w:szCs w:val="24"/>
          <w:shd w:val="clear" w:color="auto" w:fill="FFFFFF"/>
        </w:rPr>
        <w:t xml:space="preserve"> and </w:t>
      </w:r>
      <w:proofErr w:type="spellStart"/>
      <w:r w:rsidRPr="00833BA0">
        <w:rPr>
          <w:rFonts w:cstheme="minorHAnsi"/>
          <w:color w:val="222222"/>
          <w:sz w:val="24"/>
          <w:szCs w:val="24"/>
          <w:shd w:val="clear" w:color="auto" w:fill="FFFFFF"/>
        </w:rPr>
        <w:t>society</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Is</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it</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currently</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fulfilling</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its</w:t>
      </w:r>
      <w:proofErr w:type="spellEnd"/>
      <w:r w:rsidRPr="00833BA0">
        <w:rPr>
          <w:rFonts w:cstheme="minorHAnsi"/>
          <w:color w:val="222222"/>
          <w:sz w:val="24"/>
          <w:szCs w:val="24"/>
          <w:shd w:val="clear" w:color="auto" w:fill="FFFFFF"/>
        </w:rPr>
        <w:t xml:space="preserve"> </w:t>
      </w:r>
      <w:proofErr w:type="spellStart"/>
      <w:proofErr w:type="gramStart"/>
      <w:r w:rsidRPr="00833BA0">
        <w:rPr>
          <w:rFonts w:cstheme="minorHAnsi"/>
          <w:color w:val="222222"/>
          <w:sz w:val="24"/>
          <w:szCs w:val="24"/>
          <w:shd w:val="clear" w:color="auto" w:fill="FFFFFF"/>
        </w:rPr>
        <w:t>potential</w:t>
      </w:r>
      <w:proofErr w:type="spellEnd"/>
      <w:r w:rsidRPr="00833BA0">
        <w:rPr>
          <w:rFonts w:cstheme="minorHAnsi"/>
          <w:color w:val="222222"/>
          <w:sz w:val="24"/>
          <w:szCs w:val="24"/>
          <w:shd w:val="clear" w:color="auto" w:fill="FFFFFF"/>
        </w:rPr>
        <w:t>?.</w:t>
      </w:r>
      <w:proofErr w:type="gramEnd"/>
      <w:r w:rsidRPr="00833BA0">
        <w:rPr>
          <w:rFonts w:cstheme="minorHAnsi"/>
          <w:color w:val="222222"/>
          <w:sz w:val="24"/>
          <w:szCs w:val="24"/>
          <w:shd w:val="clear" w:color="auto" w:fill="FFFFFF"/>
        </w:rPr>
        <w:t xml:space="preserve"> In </w:t>
      </w:r>
      <w:proofErr w:type="spellStart"/>
      <w:r w:rsidRPr="00833BA0">
        <w:rPr>
          <w:rFonts w:cstheme="minorHAnsi"/>
          <w:iCs/>
          <w:color w:val="222222"/>
          <w:sz w:val="24"/>
          <w:szCs w:val="24"/>
          <w:shd w:val="clear" w:color="auto" w:fill="FFFFFF"/>
        </w:rPr>
        <w:t>Journal</w:t>
      </w:r>
      <w:proofErr w:type="spellEnd"/>
      <w:r w:rsidRPr="00833BA0">
        <w:rPr>
          <w:rFonts w:cstheme="minorHAnsi"/>
          <w:iCs/>
          <w:color w:val="222222"/>
          <w:sz w:val="24"/>
          <w:szCs w:val="24"/>
          <w:shd w:val="clear" w:color="auto" w:fill="FFFFFF"/>
        </w:rPr>
        <w:t xml:space="preserve"> and </w:t>
      </w:r>
      <w:proofErr w:type="spellStart"/>
      <w:r w:rsidRPr="00833BA0">
        <w:rPr>
          <w:rFonts w:cstheme="minorHAnsi"/>
          <w:iCs/>
          <w:color w:val="222222"/>
          <w:sz w:val="24"/>
          <w:szCs w:val="24"/>
          <w:shd w:val="clear" w:color="auto" w:fill="FFFFFF"/>
        </w:rPr>
        <w:t>Proceedings</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of</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the</w:t>
      </w:r>
      <w:proofErr w:type="spellEnd"/>
      <w:r w:rsidRPr="00833BA0">
        <w:rPr>
          <w:rFonts w:cstheme="minorHAnsi"/>
          <w:iCs/>
          <w:color w:val="222222"/>
          <w:sz w:val="24"/>
          <w:szCs w:val="24"/>
          <w:shd w:val="clear" w:color="auto" w:fill="FFFFFF"/>
        </w:rPr>
        <w:t xml:space="preserve"> Royal </w:t>
      </w:r>
      <w:proofErr w:type="spellStart"/>
      <w:r w:rsidRPr="00833BA0">
        <w:rPr>
          <w:rFonts w:cstheme="minorHAnsi"/>
          <w:iCs/>
          <w:color w:val="222222"/>
          <w:sz w:val="24"/>
          <w:szCs w:val="24"/>
          <w:shd w:val="clear" w:color="auto" w:fill="FFFFFF"/>
        </w:rPr>
        <w:t>Society</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of</w:t>
      </w:r>
      <w:proofErr w:type="spellEnd"/>
      <w:r w:rsidRPr="00833BA0">
        <w:rPr>
          <w:rFonts w:cstheme="minorHAnsi"/>
          <w:iCs/>
          <w:color w:val="222222"/>
          <w:sz w:val="24"/>
          <w:szCs w:val="24"/>
          <w:shd w:val="clear" w:color="auto" w:fill="FFFFFF"/>
        </w:rPr>
        <w:t xml:space="preserve"> New South </w:t>
      </w:r>
      <w:proofErr w:type="spellStart"/>
      <w:r w:rsidRPr="00833BA0">
        <w:rPr>
          <w:rFonts w:cstheme="minorHAnsi"/>
          <w:iCs/>
          <w:color w:val="222222"/>
          <w:sz w:val="24"/>
          <w:szCs w:val="24"/>
          <w:shd w:val="clear" w:color="auto" w:fill="FFFFFF"/>
        </w:rPr>
        <w:t>Wales</w:t>
      </w:r>
      <w:proofErr w:type="spellEnd"/>
      <w:r w:rsidRPr="00833BA0">
        <w:rPr>
          <w:rFonts w:cstheme="minorHAnsi"/>
          <w:color w:val="222222"/>
          <w:sz w:val="24"/>
          <w:szCs w:val="24"/>
          <w:shd w:val="clear" w:color="auto" w:fill="FFFFFF"/>
        </w:rPr>
        <w:t> (Vol. 148, No. 455/456, pp. 28-43).</w:t>
      </w:r>
    </w:p>
    <w:p w14:paraId="49C8D6A1"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222222"/>
          <w:sz w:val="24"/>
          <w:szCs w:val="24"/>
          <w:shd w:val="clear" w:color="auto" w:fill="FFFFFF"/>
          <w:lang w:val="en-US"/>
        </w:rPr>
      </w:pPr>
      <w:proofErr w:type="spellStart"/>
      <w:r w:rsidRPr="00833BA0">
        <w:rPr>
          <w:rFonts w:cstheme="minorHAnsi"/>
          <w:color w:val="222222"/>
          <w:sz w:val="24"/>
          <w:szCs w:val="24"/>
          <w:shd w:val="clear" w:color="auto" w:fill="FFFFFF"/>
        </w:rPr>
        <w:t>Bartolucci</w:t>
      </w:r>
      <w:proofErr w:type="spellEnd"/>
      <w:r w:rsidRPr="00833BA0">
        <w:rPr>
          <w:rFonts w:cstheme="minorHAnsi"/>
          <w:color w:val="222222"/>
          <w:sz w:val="24"/>
          <w:szCs w:val="24"/>
          <w:shd w:val="clear" w:color="auto" w:fill="FFFFFF"/>
        </w:rPr>
        <w:t>, J. (2017). La ciencia como problema sociológico. </w:t>
      </w:r>
      <w:proofErr w:type="spellStart"/>
      <w:r w:rsidRPr="00833BA0">
        <w:rPr>
          <w:rFonts w:cstheme="minorHAnsi"/>
          <w:iCs/>
          <w:color w:val="222222"/>
          <w:sz w:val="24"/>
          <w:szCs w:val="24"/>
          <w:shd w:val="clear" w:color="auto" w:fill="FFFFFF"/>
          <w:lang w:val="en-US"/>
        </w:rPr>
        <w:t>Sociológica</w:t>
      </w:r>
      <w:proofErr w:type="spellEnd"/>
      <w:r w:rsidRPr="00833BA0">
        <w:rPr>
          <w:rFonts w:cstheme="minorHAnsi"/>
          <w:iCs/>
          <w:color w:val="222222"/>
          <w:sz w:val="24"/>
          <w:szCs w:val="24"/>
          <w:shd w:val="clear" w:color="auto" w:fill="FFFFFF"/>
          <w:lang w:val="en-US"/>
        </w:rPr>
        <w:t xml:space="preserve"> (México)</w:t>
      </w:r>
      <w:r w:rsidRPr="00833BA0">
        <w:rPr>
          <w:rFonts w:cstheme="minorHAnsi"/>
          <w:color w:val="222222"/>
          <w:sz w:val="24"/>
          <w:szCs w:val="24"/>
          <w:shd w:val="clear" w:color="auto" w:fill="FFFFFF"/>
          <w:lang w:val="en-US"/>
        </w:rPr>
        <w:t>, </w:t>
      </w:r>
      <w:r w:rsidRPr="00833BA0">
        <w:rPr>
          <w:rFonts w:cstheme="minorHAnsi"/>
          <w:iCs/>
          <w:color w:val="222222"/>
          <w:sz w:val="24"/>
          <w:szCs w:val="24"/>
          <w:shd w:val="clear" w:color="auto" w:fill="FFFFFF"/>
          <w:lang w:val="en-US"/>
        </w:rPr>
        <w:t>32</w:t>
      </w:r>
      <w:r w:rsidRPr="00833BA0">
        <w:rPr>
          <w:rFonts w:cstheme="minorHAnsi"/>
          <w:color w:val="222222"/>
          <w:sz w:val="24"/>
          <w:szCs w:val="24"/>
          <w:shd w:val="clear" w:color="auto" w:fill="FFFFFF"/>
          <w:lang w:val="en-US"/>
        </w:rPr>
        <w:t>(92), 9-40.</w:t>
      </w:r>
    </w:p>
    <w:p w14:paraId="38DEAA64" w14:textId="77777777" w:rsidR="00833BA0" w:rsidRDefault="00833BA0" w:rsidP="00833BA0">
      <w:pPr>
        <w:pStyle w:val="Prrafodelista"/>
        <w:numPr>
          <w:ilvl w:val="0"/>
          <w:numId w:val="11"/>
        </w:numPr>
        <w:autoSpaceDE w:val="0"/>
        <w:autoSpaceDN w:val="0"/>
        <w:adjustRightInd w:val="0"/>
        <w:spacing w:after="0" w:line="240" w:lineRule="auto"/>
        <w:jc w:val="both"/>
      </w:pPr>
      <w:r w:rsidRPr="00833BA0">
        <w:rPr>
          <w:rFonts w:cstheme="minorHAnsi"/>
          <w:color w:val="222222"/>
          <w:sz w:val="24"/>
          <w:szCs w:val="24"/>
          <w:shd w:val="clear" w:color="auto" w:fill="FFFFFF"/>
        </w:rPr>
        <w:t xml:space="preserve">Bernhard, J. (2018). </w:t>
      </w:r>
      <w:proofErr w:type="spellStart"/>
      <w:r w:rsidRPr="00833BA0">
        <w:rPr>
          <w:rFonts w:cstheme="minorHAnsi"/>
          <w:color w:val="222222"/>
          <w:sz w:val="24"/>
          <w:szCs w:val="24"/>
          <w:shd w:val="clear" w:color="auto" w:fill="FFFFFF"/>
        </w:rPr>
        <w:t>Engineering</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Education</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Research</w:t>
      </w:r>
      <w:proofErr w:type="spellEnd"/>
      <w:r w:rsidRPr="00833BA0">
        <w:rPr>
          <w:rFonts w:cstheme="minorHAnsi"/>
          <w:color w:val="222222"/>
          <w:sz w:val="24"/>
          <w:szCs w:val="24"/>
          <w:shd w:val="clear" w:color="auto" w:fill="FFFFFF"/>
        </w:rPr>
        <w:t xml:space="preserve"> in </w:t>
      </w:r>
      <w:proofErr w:type="spellStart"/>
      <w:r w:rsidRPr="00833BA0">
        <w:rPr>
          <w:rFonts w:cstheme="minorHAnsi"/>
          <w:color w:val="222222"/>
          <w:sz w:val="24"/>
          <w:szCs w:val="24"/>
          <w:shd w:val="clear" w:color="auto" w:fill="FFFFFF"/>
        </w:rPr>
        <w:t>Europe</w:t>
      </w:r>
      <w:proofErr w:type="spellEnd"/>
      <w:r w:rsidRPr="00833BA0">
        <w:rPr>
          <w:rFonts w:cstheme="minorHAnsi"/>
          <w:color w:val="222222"/>
          <w:sz w:val="24"/>
          <w:szCs w:val="24"/>
          <w:shd w:val="clear" w:color="auto" w:fill="FFFFFF"/>
        </w:rPr>
        <w:t>—</w:t>
      </w:r>
      <w:proofErr w:type="spellStart"/>
      <w:r w:rsidRPr="00833BA0">
        <w:rPr>
          <w:rFonts w:cstheme="minorHAnsi"/>
          <w:color w:val="222222"/>
          <w:sz w:val="24"/>
          <w:szCs w:val="24"/>
          <w:shd w:val="clear" w:color="auto" w:fill="FFFFFF"/>
        </w:rPr>
        <w:t>Coming</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of</w:t>
      </w:r>
      <w:proofErr w:type="spellEnd"/>
      <w:r w:rsidRPr="00833BA0">
        <w:rPr>
          <w:rFonts w:cstheme="minorHAnsi"/>
          <w:color w:val="222222"/>
          <w:sz w:val="24"/>
          <w:szCs w:val="24"/>
          <w:shd w:val="clear" w:color="auto" w:fill="FFFFFF"/>
        </w:rPr>
        <w:t xml:space="preserve"> Age. </w:t>
      </w:r>
      <w:proofErr w:type="spellStart"/>
      <w:r w:rsidRPr="00833BA0">
        <w:rPr>
          <w:rStyle w:val="html-italic"/>
          <w:rFonts w:cstheme="minorHAnsi"/>
          <w:iCs/>
          <w:color w:val="222222"/>
          <w:sz w:val="24"/>
          <w:szCs w:val="24"/>
          <w:shd w:val="clear" w:color="auto" w:fill="FFFFFF"/>
        </w:rPr>
        <w:t>Eur</w:t>
      </w:r>
      <w:proofErr w:type="spellEnd"/>
      <w:r w:rsidRPr="00833BA0">
        <w:rPr>
          <w:rStyle w:val="html-italic"/>
          <w:rFonts w:cstheme="minorHAnsi"/>
          <w:iCs/>
          <w:color w:val="222222"/>
          <w:sz w:val="24"/>
          <w:szCs w:val="24"/>
          <w:shd w:val="clear" w:color="auto" w:fill="FFFFFF"/>
        </w:rPr>
        <w:t xml:space="preserve">. J. Eng. </w:t>
      </w:r>
      <w:proofErr w:type="spellStart"/>
      <w:r w:rsidRPr="00833BA0">
        <w:rPr>
          <w:rStyle w:val="html-italic"/>
          <w:rFonts w:cstheme="minorHAnsi"/>
          <w:iCs/>
          <w:color w:val="222222"/>
          <w:sz w:val="24"/>
          <w:szCs w:val="24"/>
          <w:shd w:val="clear" w:color="auto" w:fill="FFFFFF"/>
        </w:rPr>
        <w:t>Educ</w:t>
      </w:r>
      <w:proofErr w:type="spellEnd"/>
      <w:r w:rsidRPr="00833BA0">
        <w:rPr>
          <w:rStyle w:val="html-italic"/>
          <w:rFonts w:cstheme="minorHAnsi"/>
          <w:iCs/>
          <w:color w:val="222222"/>
          <w:sz w:val="24"/>
          <w:szCs w:val="24"/>
          <w:shd w:val="clear" w:color="auto" w:fill="FFFFFF"/>
        </w:rPr>
        <w:t>.</w:t>
      </w:r>
      <w:r w:rsidRPr="00833BA0">
        <w:rPr>
          <w:rFonts w:cstheme="minorHAnsi"/>
          <w:color w:val="222222"/>
          <w:sz w:val="24"/>
          <w:szCs w:val="24"/>
          <w:shd w:val="clear" w:color="auto" w:fill="FFFFFF"/>
        </w:rPr>
        <w:t> </w:t>
      </w:r>
      <w:r w:rsidRPr="00833BA0">
        <w:rPr>
          <w:rStyle w:val="html-italic"/>
          <w:rFonts w:cstheme="minorHAnsi"/>
          <w:iCs/>
          <w:color w:val="222222"/>
          <w:sz w:val="24"/>
          <w:szCs w:val="24"/>
          <w:shd w:val="clear" w:color="auto" w:fill="FFFFFF"/>
        </w:rPr>
        <w:t>43</w:t>
      </w:r>
      <w:r w:rsidRPr="00833BA0">
        <w:rPr>
          <w:rFonts w:cstheme="minorHAnsi"/>
          <w:color w:val="222222"/>
          <w:sz w:val="24"/>
          <w:szCs w:val="24"/>
          <w:shd w:val="clear" w:color="auto" w:fill="FFFFFF"/>
        </w:rPr>
        <w:t>, 167–170.</w:t>
      </w:r>
    </w:p>
    <w:p w14:paraId="513B983E"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000000" w:themeColor="text1"/>
          <w:sz w:val="24"/>
          <w:szCs w:val="24"/>
          <w:shd w:val="clear" w:color="auto" w:fill="FFFFFF"/>
          <w:lang w:val="en-US"/>
        </w:rPr>
      </w:pPr>
      <w:r w:rsidRPr="00833BA0">
        <w:rPr>
          <w:rFonts w:cstheme="minorHAnsi"/>
          <w:color w:val="222222"/>
          <w:sz w:val="24"/>
          <w:szCs w:val="24"/>
          <w:shd w:val="clear" w:color="auto" w:fill="FFFFFF"/>
        </w:rPr>
        <w:t>Celis, J., &amp; Duque, M. (2016). Factores que configuran las preferencias de empleo de los estudiantes de doctorado en ingeniería por la academia y la industria. </w:t>
      </w:r>
      <w:r w:rsidRPr="00833BA0">
        <w:rPr>
          <w:rFonts w:cstheme="minorHAnsi"/>
          <w:iCs/>
          <w:color w:val="222222"/>
          <w:sz w:val="24"/>
          <w:szCs w:val="24"/>
          <w:shd w:val="clear" w:color="auto" w:fill="FFFFFF"/>
        </w:rPr>
        <w:t>Investigación y Desarrollo</w:t>
      </w:r>
      <w:r w:rsidRPr="00833BA0">
        <w:rPr>
          <w:rFonts w:cstheme="minorHAnsi"/>
          <w:color w:val="222222"/>
          <w:sz w:val="24"/>
          <w:szCs w:val="24"/>
          <w:shd w:val="clear" w:color="auto" w:fill="FFFFFF"/>
        </w:rPr>
        <w:t>, </w:t>
      </w:r>
      <w:r w:rsidRPr="00833BA0">
        <w:rPr>
          <w:rFonts w:cstheme="minorHAnsi"/>
          <w:iCs/>
          <w:color w:val="222222"/>
          <w:sz w:val="24"/>
          <w:szCs w:val="24"/>
          <w:shd w:val="clear" w:color="auto" w:fill="FFFFFF"/>
        </w:rPr>
        <w:t>24</w:t>
      </w:r>
      <w:r w:rsidRPr="00833BA0">
        <w:rPr>
          <w:rFonts w:cstheme="minorHAnsi"/>
          <w:color w:val="222222"/>
          <w:sz w:val="24"/>
          <w:szCs w:val="24"/>
          <w:shd w:val="clear" w:color="auto" w:fill="FFFFFF"/>
        </w:rPr>
        <w:t>(2), 355-385</w:t>
      </w:r>
    </w:p>
    <w:p w14:paraId="764C5B29"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000000" w:themeColor="text1"/>
          <w:sz w:val="24"/>
          <w:szCs w:val="24"/>
          <w:shd w:val="clear" w:color="auto" w:fill="FFFFFF"/>
          <w:lang w:val="en-US"/>
        </w:rPr>
      </w:pPr>
      <w:proofErr w:type="spellStart"/>
      <w:r w:rsidRPr="00833BA0">
        <w:rPr>
          <w:rFonts w:cstheme="minorHAnsi"/>
          <w:color w:val="000000" w:themeColor="text1"/>
          <w:sz w:val="24"/>
          <w:szCs w:val="24"/>
          <w:shd w:val="clear" w:color="auto" w:fill="FFFFFF"/>
          <w:lang w:val="en-US"/>
        </w:rPr>
        <w:t>Chavalarias</w:t>
      </w:r>
      <w:proofErr w:type="spellEnd"/>
      <w:r w:rsidRPr="00833BA0">
        <w:rPr>
          <w:rFonts w:cstheme="minorHAnsi"/>
          <w:color w:val="000000" w:themeColor="text1"/>
          <w:sz w:val="24"/>
          <w:szCs w:val="24"/>
          <w:shd w:val="clear" w:color="auto" w:fill="FFFFFF"/>
          <w:lang w:val="en-US"/>
        </w:rPr>
        <w:t xml:space="preserve"> D, &amp; </w:t>
      </w:r>
      <w:proofErr w:type="spellStart"/>
      <w:r w:rsidRPr="00833BA0">
        <w:rPr>
          <w:rFonts w:cstheme="minorHAnsi"/>
          <w:color w:val="000000" w:themeColor="text1"/>
          <w:sz w:val="24"/>
          <w:szCs w:val="24"/>
          <w:shd w:val="clear" w:color="auto" w:fill="FFFFFF"/>
          <w:lang w:val="en-US"/>
        </w:rPr>
        <w:t>Cointet</w:t>
      </w:r>
      <w:proofErr w:type="spellEnd"/>
      <w:r w:rsidRPr="00833BA0">
        <w:rPr>
          <w:rFonts w:cstheme="minorHAnsi"/>
          <w:color w:val="000000" w:themeColor="text1"/>
          <w:sz w:val="24"/>
          <w:szCs w:val="24"/>
          <w:shd w:val="clear" w:color="auto" w:fill="FFFFFF"/>
          <w:lang w:val="en-US"/>
        </w:rPr>
        <w:t xml:space="preserve"> J.P., (2013) </w:t>
      </w:r>
      <w:proofErr w:type="spellStart"/>
      <w:r w:rsidRPr="00833BA0">
        <w:rPr>
          <w:rFonts w:cstheme="minorHAnsi"/>
          <w:color w:val="000000" w:themeColor="text1"/>
          <w:sz w:val="24"/>
          <w:szCs w:val="24"/>
          <w:shd w:val="clear" w:color="auto" w:fill="FFFFFF"/>
          <w:lang w:val="en-US"/>
        </w:rPr>
        <w:t>Phylomemetic</w:t>
      </w:r>
      <w:proofErr w:type="spellEnd"/>
      <w:r w:rsidRPr="00833BA0">
        <w:rPr>
          <w:rFonts w:cstheme="minorHAnsi"/>
          <w:color w:val="000000" w:themeColor="text1"/>
          <w:sz w:val="24"/>
          <w:szCs w:val="24"/>
          <w:shd w:val="clear" w:color="auto" w:fill="FFFFFF"/>
          <w:lang w:val="en-US"/>
        </w:rPr>
        <w:t xml:space="preserve"> Patterns in Science Evolution—The Rise and Fall of Scientific Fields. </w:t>
      </w:r>
      <w:proofErr w:type="spellStart"/>
      <w:r w:rsidRPr="00833BA0">
        <w:rPr>
          <w:rFonts w:cstheme="minorHAnsi"/>
          <w:color w:val="000000" w:themeColor="text1"/>
          <w:sz w:val="24"/>
          <w:szCs w:val="24"/>
          <w:shd w:val="clear" w:color="auto" w:fill="FFFFFF"/>
          <w:lang w:val="en-US"/>
        </w:rPr>
        <w:t>PLoS</w:t>
      </w:r>
      <w:proofErr w:type="spellEnd"/>
      <w:r w:rsidRPr="00833BA0">
        <w:rPr>
          <w:rFonts w:cstheme="minorHAnsi"/>
          <w:color w:val="000000" w:themeColor="text1"/>
          <w:sz w:val="24"/>
          <w:szCs w:val="24"/>
          <w:shd w:val="clear" w:color="auto" w:fill="FFFFFF"/>
          <w:lang w:val="en-US"/>
        </w:rPr>
        <w:t xml:space="preserve"> ONE. </w:t>
      </w:r>
      <w:r w:rsidRPr="00833BA0">
        <w:rPr>
          <w:rFonts w:cstheme="minorHAnsi"/>
          <w:sz w:val="24"/>
          <w:szCs w:val="24"/>
          <w:shd w:val="clear" w:color="auto" w:fill="FFFFFF"/>
          <w:lang w:val="en-US"/>
        </w:rPr>
        <w:t xml:space="preserve">doi.org/10.1371/journal.pone.0054847. </w:t>
      </w:r>
      <w:r w:rsidRPr="00833BA0">
        <w:rPr>
          <w:rFonts w:cstheme="minorHAnsi"/>
          <w:color w:val="000000" w:themeColor="text1"/>
          <w:sz w:val="24"/>
          <w:szCs w:val="24"/>
          <w:shd w:val="clear" w:color="auto" w:fill="FFFFFF"/>
          <w:lang w:val="en-US"/>
        </w:rPr>
        <w:t xml:space="preserve"> </w:t>
      </w:r>
    </w:p>
    <w:p w14:paraId="6A522F86"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000000" w:themeColor="text1"/>
          <w:sz w:val="24"/>
          <w:szCs w:val="24"/>
          <w:shd w:val="clear" w:color="auto" w:fill="FFFFFF"/>
        </w:rPr>
      </w:pPr>
      <w:r w:rsidRPr="00833BA0">
        <w:rPr>
          <w:rFonts w:cstheme="minorHAnsi"/>
          <w:color w:val="000000" w:themeColor="text1"/>
          <w:sz w:val="24"/>
          <w:szCs w:val="24"/>
        </w:rPr>
        <w:lastRenderedPageBreak/>
        <w:t xml:space="preserve">Chávez J., (2021). Principales corrientes y tendencias a inicios del siglo XXI de la pedagogía y la didáctica. </w:t>
      </w:r>
      <w:r w:rsidRPr="00833BA0">
        <w:rPr>
          <w:rFonts w:cstheme="minorHAnsi"/>
          <w:color w:val="000000" w:themeColor="text1"/>
          <w:sz w:val="24"/>
          <w:szCs w:val="24"/>
          <w:shd w:val="clear" w:color="auto" w:fill="FFFFFF"/>
        </w:rPr>
        <w:t xml:space="preserve">Editorial Pueblo y Educación </w:t>
      </w:r>
    </w:p>
    <w:p w14:paraId="6DF61CCA"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proofErr w:type="spellStart"/>
      <w:r w:rsidRPr="00833BA0">
        <w:rPr>
          <w:rFonts w:cstheme="minorHAnsi"/>
          <w:color w:val="222222"/>
          <w:sz w:val="24"/>
          <w:szCs w:val="24"/>
          <w:shd w:val="clear" w:color="auto" w:fill="FFFFFF"/>
        </w:rPr>
        <w:t>Coccia</w:t>
      </w:r>
      <w:proofErr w:type="spellEnd"/>
      <w:r w:rsidRPr="00833BA0">
        <w:rPr>
          <w:rFonts w:cstheme="minorHAnsi"/>
          <w:color w:val="222222"/>
          <w:sz w:val="24"/>
          <w:szCs w:val="24"/>
          <w:shd w:val="clear" w:color="auto" w:fill="FFFFFF"/>
        </w:rPr>
        <w:t xml:space="preserve">, M., &amp; Wang, L. (2016). </w:t>
      </w:r>
      <w:proofErr w:type="spellStart"/>
      <w:r w:rsidRPr="00833BA0">
        <w:rPr>
          <w:rFonts w:cstheme="minorHAnsi"/>
          <w:color w:val="222222"/>
          <w:sz w:val="24"/>
          <w:szCs w:val="24"/>
          <w:shd w:val="clear" w:color="auto" w:fill="FFFFFF"/>
        </w:rPr>
        <w:t>Evolution</w:t>
      </w:r>
      <w:proofErr w:type="spellEnd"/>
      <w:r w:rsidRPr="00833BA0">
        <w:rPr>
          <w:rFonts w:cstheme="minorHAnsi"/>
          <w:color w:val="222222"/>
          <w:sz w:val="24"/>
          <w:szCs w:val="24"/>
          <w:shd w:val="clear" w:color="auto" w:fill="FFFFFF"/>
        </w:rPr>
        <w:t xml:space="preserve"> and </w:t>
      </w:r>
      <w:proofErr w:type="spellStart"/>
      <w:r w:rsidRPr="00833BA0">
        <w:rPr>
          <w:rFonts w:cstheme="minorHAnsi"/>
          <w:color w:val="222222"/>
          <w:sz w:val="24"/>
          <w:szCs w:val="24"/>
          <w:shd w:val="clear" w:color="auto" w:fill="FFFFFF"/>
        </w:rPr>
        <w:t>convergence</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of</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the</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patterns</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of</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international</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scientific</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collaboration</w:t>
      </w:r>
      <w:proofErr w:type="spellEnd"/>
      <w:r w:rsidRPr="00833BA0">
        <w:rPr>
          <w:rFonts w:cstheme="minorHAnsi"/>
          <w:color w:val="222222"/>
          <w:sz w:val="24"/>
          <w:szCs w:val="24"/>
          <w:shd w:val="clear" w:color="auto" w:fill="FFFFFF"/>
        </w:rPr>
        <w:t>. </w:t>
      </w:r>
      <w:proofErr w:type="spellStart"/>
      <w:r w:rsidRPr="00833BA0">
        <w:rPr>
          <w:rFonts w:cstheme="minorHAnsi"/>
          <w:iCs/>
          <w:color w:val="222222"/>
          <w:sz w:val="24"/>
          <w:szCs w:val="24"/>
          <w:shd w:val="clear" w:color="auto" w:fill="FFFFFF"/>
        </w:rPr>
        <w:t>Proceedings</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of</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the</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National</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Academy</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of</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Sciences</w:t>
      </w:r>
      <w:proofErr w:type="spellEnd"/>
      <w:r w:rsidRPr="00833BA0">
        <w:rPr>
          <w:rFonts w:cstheme="minorHAnsi"/>
          <w:color w:val="222222"/>
          <w:sz w:val="24"/>
          <w:szCs w:val="24"/>
          <w:shd w:val="clear" w:color="auto" w:fill="FFFFFF"/>
        </w:rPr>
        <w:t>, </w:t>
      </w:r>
      <w:r w:rsidRPr="00833BA0">
        <w:rPr>
          <w:rFonts w:cstheme="minorHAnsi"/>
          <w:iCs/>
          <w:color w:val="222222"/>
          <w:sz w:val="24"/>
          <w:szCs w:val="24"/>
          <w:shd w:val="clear" w:color="auto" w:fill="FFFFFF"/>
        </w:rPr>
        <w:t>113</w:t>
      </w:r>
      <w:r w:rsidRPr="00833BA0">
        <w:rPr>
          <w:rFonts w:cstheme="minorHAnsi"/>
          <w:color w:val="222222"/>
          <w:sz w:val="24"/>
          <w:szCs w:val="24"/>
          <w:shd w:val="clear" w:color="auto" w:fill="FFFFFF"/>
        </w:rPr>
        <w:t>(8), 2057-2061.</w:t>
      </w:r>
    </w:p>
    <w:p w14:paraId="15BB6DEB"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r w:rsidRPr="00833BA0">
        <w:rPr>
          <w:rFonts w:cstheme="minorHAnsi"/>
          <w:color w:val="222222"/>
          <w:sz w:val="24"/>
          <w:szCs w:val="24"/>
          <w:shd w:val="clear" w:color="auto" w:fill="FFFFFF"/>
        </w:rPr>
        <w:t xml:space="preserve">Díaz Pérez, M., Moya </w:t>
      </w:r>
      <w:proofErr w:type="spellStart"/>
      <w:r w:rsidRPr="00833BA0">
        <w:rPr>
          <w:rFonts w:cstheme="minorHAnsi"/>
          <w:color w:val="222222"/>
          <w:sz w:val="24"/>
          <w:szCs w:val="24"/>
          <w:shd w:val="clear" w:color="auto" w:fill="FFFFFF"/>
        </w:rPr>
        <w:t>Anegón</w:t>
      </w:r>
      <w:proofErr w:type="spellEnd"/>
      <w:r w:rsidRPr="00833BA0">
        <w:rPr>
          <w:rFonts w:cstheme="minorHAnsi"/>
          <w:color w:val="222222"/>
          <w:sz w:val="24"/>
          <w:szCs w:val="24"/>
          <w:shd w:val="clear" w:color="auto" w:fill="FFFFFF"/>
        </w:rPr>
        <w:t>, F. D., &amp; Carrillo-Calvet, H. A. (2017). Técnicas para la visualización de dominios científicos y tecnológicos. </w:t>
      </w:r>
      <w:r w:rsidRPr="00833BA0">
        <w:rPr>
          <w:rFonts w:cstheme="minorHAnsi"/>
          <w:iCs/>
          <w:color w:val="222222"/>
          <w:sz w:val="24"/>
          <w:szCs w:val="24"/>
          <w:shd w:val="clear" w:color="auto" w:fill="FFFFFF"/>
        </w:rPr>
        <w:t>Investigación bibliotecológica</w:t>
      </w:r>
      <w:r w:rsidRPr="00833BA0">
        <w:rPr>
          <w:rFonts w:cstheme="minorHAnsi"/>
          <w:color w:val="222222"/>
          <w:sz w:val="24"/>
          <w:szCs w:val="24"/>
          <w:shd w:val="clear" w:color="auto" w:fill="FFFFFF"/>
        </w:rPr>
        <w:t>, </w:t>
      </w:r>
      <w:r w:rsidRPr="00833BA0">
        <w:rPr>
          <w:rFonts w:cstheme="minorHAnsi"/>
          <w:iCs/>
          <w:color w:val="222222"/>
          <w:sz w:val="24"/>
          <w:szCs w:val="24"/>
          <w:shd w:val="clear" w:color="auto" w:fill="FFFFFF"/>
        </w:rPr>
        <w:t>31</w:t>
      </w:r>
      <w:r w:rsidRPr="00833BA0">
        <w:rPr>
          <w:rFonts w:cstheme="minorHAnsi"/>
          <w:color w:val="222222"/>
          <w:sz w:val="24"/>
          <w:szCs w:val="24"/>
          <w:shd w:val="clear" w:color="auto" w:fill="FFFFFF"/>
        </w:rPr>
        <w:t>(SPE), 17-42.</w:t>
      </w:r>
    </w:p>
    <w:p w14:paraId="52747FA6"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proofErr w:type="spellStart"/>
      <w:r w:rsidRPr="00B3068B">
        <w:rPr>
          <w:rFonts w:cstheme="minorHAnsi"/>
          <w:color w:val="222222"/>
          <w:sz w:val="24"/>
          <w:szCs w:val="24"/>
          <w:shd w:val="clear" w:color="auto" w:fill="FFFFFF"/>
          <w:lang w:val="en-US"/>
        </w:rPr>
        <w:t>Fensham</w:t>
      </w:r>
      <w:proofErr w:type="spellEnd"/>
      <w:r w:rsidRPr="00B3068B">
        <w:rPr>
          <w:rFonts w:cstheme="minorHAnsi"/>
          <w:color w:val="222222"/>
          <w:sz w:val="24"/>
          <w:szCs w:val="24"/>
          <w:shd w:val="clear" w:color="auto" w:fill="FFFFFF"/>
          <w:lang w:val="en-US"/>
        </w:rPr>
        <w:t>, P. J. (2004). </w:t>
      </w:r>
      <w:r w:rsidRPr="00B3068B">
        <w:rPr>
          <w:rFonts w:cstheme="minorHAnsi"/>
          <w:iCs/>
          <w:color w:val="222222"/>
          <w:sz w:val="24"/>
          <w:szCs w:val="24"/>
          <w:shd w:val="clear" w:color="auto" w:fill="FFFFFF"/>
          <w:lang w:val="en-US"/>
        </w:rPr>
        <w:t>Defining an identity: The evolution of science education as a field of research</w:t>
      </w:r>
      <w:r w:rsidRPr="00B3068B">
        <w:rPr>
          <w:rFonts w:cstheme="minorHAnsi"/>
          <w:color w:val="222222"/>
          <w:sz w:val="24"/>
          <w:szCs w:val="24"/>
          <w:shd w:val="clear" w:color="auto" w:fill="FFFFFF"/>
          <w:lang w:val="en-US"/>
        </w:rPr>
        <w:t> (Vol. 20). Springer Science &amp; Business Media.</w:t>
      </w:r>
    </w:p>
    <w:p w14:paraId="5A51F4BF" w14:textId="1AE45B30" w:rsidR="00833BA0" w:rsidRPr="003B72B3" w:rsidRDefault="00833BA0" w:rsidP="009F7254">
      <w:pPr>
        <w:pStyle w:val="Prrafodelista"/>
        <w:numPr>
          <w:ilvl w:val="0"/>
          <w:numId w:val="11"/>
        </w:numPr>
        <w:autoSpaceDE w:val="0"/>
        <w:autoSpaceDN w:val="0"/>
        <w:adjustRightInd w:val="0"/>
        <w:spacing w:after="0" w:line="240" w:lineRule="auto"/>
        <w:jc w:val="both"/>
        <w:rPr>
          <w:rFonts w:cstheme="minorHAnsi"/>
          <w:color w:val="000000" w:themeColor="text1"/>
          <w:sz w:val="24"/>
          <w:szCs w:val="24"/>
          <w:shd w:val="clear" w:color="auto" w:fill="FFFFFF"/>
          <w:lang w:val="en-US"/>
        </w:rPr>
      </w:pPr>
      <w:r w:rsidRPr="003B72B3">
        <w:rPr>
          <w:rFonts w:cstheme="minorHAnsi"/>
          <w:color w:val="202020"/>
          <w:sz w:val="24"/>
          <w:szCs w:val="24"/>
          <w:shd w:val="clear" w:color="auto" w:fill="FFFFFF"/>
          <w:lang w:val="en-US"/>
        </w:rPr>
        <w:t xml:space="preserve">Finelli C., &amp; </w:t>
      </w:r>
      <w:proofErr w:type="spellStart"/>
      <w:r w:rsidRPr="003B72B3">
        <w:rPr>
          <w:rFonts w:cstheme="minorHAnsi"/>
          <w:color w:val="202020"/>
          <w:sz w:val="24"/>
          <w:szCs w:val="24"/>
          <w:shd w:val="clear" w:color="auto" w:fill="FFFFFF"/>
          <w:lang w:val="en-US"/>
        </w:rPr>
        <w:t>Dalyu</w:t>
      </w:r>
      <w:proofErr w:type="spellEnd"/>
      <w:r w:rsidRPr="003B72B3">
        <w:rPr>
          <w:rFonts w:cstheme="minorHAnsi"/>
          <w:color w:val="202020"/>
          <w:sz w:val="24"/>
          <w:szCs w:val="24"/>
          <w:shd w:val="clear" w:color="auto" w:fill="FFFFFF"/>
          <w:lang w:val="en-US"/>
        </w:rPr>
        <w:t xml:space="preserve">. S., (2015). Frequently Asked Questions Engineering Education Research Faculty Search October, Michigan Engineering Associate Dean for Academic Affairs. </w:t>
      </w:r>
      <w:hyperlink r:id="rId13" w:history="1">
        <w:r w:rsidRPr="003B72B3">
          <w:rPr>
            <w:rStyle w:val="Hipervnculo"/>
            <w:rFonts w:cstheme="minorHAnsi"/>
            <w:sz w:val="24"/>
            <w:szCs w:val="24"/>
            <w:shd w:val="clear" w:color="auto" w:fill="FFFFFF"/>
            <w:lang w:val="en-US"/>
          </w:rPr>
          <w:t>https://adaa.engin.umich.edu/wp-content/uploads/sites/22/2014/09/EER-FAQs.pdf</w:t>
        </w:r>
      </w:hyperlink>
      <w:r w:rsidR="003B72B3" w:rsidRPr="003B72B3">
        <w:rPr>
          <w:rStyle w:val="Hipervnculo"/>
          <w:rFonts w:cstheme="minorHAnsi"/>
          <w:sz w:val="24"/>
          <w:szCs w:val="24"/>
          <w:shd w:val="clear" w:color="auto" w:fill="FFFFFF"/>
          <w:lang w:val="en-US"/>
        </w:rPr>
        <w:t>.</w:t>
      </w:r>
      <w:r w:rsidR="003B72B3" w:rsidRPr="003B72B3">
        <w:rPr>
          <w:rStyle w:val="Hipervnculo"/>
          <w:rFonts w:cstheme="minorHAnsi"/>
          <w:sz w:val="24"/>
          <w:szCs w:val="24"/>
          <w:u w:val="none"/>
          <w:shd w:val="clear" w:color="auto" w:fill="FFFFFF"/>
          <w:lang w:val="en-US"/>
        </w:rPr>
        <w:t xml:space="preserve"> </w:t>
      </w:r>
      <w:proofErr w:type="spellStart"/>
      <w:r w:rsidR="003B72B3" w:rsidRPr="003B72B3">
        <w:rPr>
          <w:rStyle w:val="Hipervnculo"/>
          <w:rFonts w:cstheme="minorHAnsi"/>
          <w:color w:val="auto"/>
          <w:sz w:val="24"/>
          <w:szCs w:val="24"/>
          <w:u w:val="none"/>
          <w:shd w:val="clear" w:color="auto" w:fill="FFFFFF"/>
          <w:lang w:val="en-US"/>
        </w:rPr>
        <w:t>Consultado</w:t>
      </w:r>
      <w:proofErr w:type="spellEnd"/>
      <w:r w:rsidR="003B72B3">
        <w:rPr>
          <w:rStyle w:val="Hipervnculo"/>
          <w:rFonts w:cstheme="minorHAnsi"/>
          <w:sz w:val="24"/>
          <w:szCs w:val="24"/>
          <w:u w:val="none"/>
          <w:shd w:val="clear" w:color="auto" w:fill="FFFFFF"/>
          <w:lang w:val="en-US"/>
        </w:rPr>
        <w:t xml:space="preserve"> </w:t>
      </w:r>
      <w:r w:rsidRPr="003B72B3">
        <w:rPr>
          <w:rFonts w:cstheme="minorHAnsi"/>
          <w:sz w:val="24"/>
          <w:szCs w:val="24"/>
          <w:shd w:val="clear" w:color="auto" w:fill="FFFFFF"/>
          <w:lang w:val="en-US"/>
        </w:rPr>
        <w:t xml:space="preserve">12 </w:t>
      </w:r>
      <w:proofErr w:type="spellStart"/>
      <w:r w:rsidRPr="003B72B3">
        <w:rPr>
          <w:rFonts w:cstheme="minorHAnsi"/>
          <w:sz w:val="24"/>
          <w:szCs w:val="24"/>
          <w:shd w:val="clear" w:color="auto" w:fill="FFFFFF"/>
          <w:lang w:val="en-US"/>
        </w:rPr>
        <w:t>octubre</w:t>
      </w:r>
      <w:proofErr w:type="spellEnd"/>
      <w:r w:rsidRPr="003B72B3">
        <w:rPr>
          <w:rFonts w:cstheme="minorHAnsi"/>
          <w:sz w:val="24"/>
          <w:szCs w:val="24"/>
          <w:shd w:val="clear" w:color="auto" w:fill="FFFFFF"/>
          <w:lang w:val="en-US"/>
        </w:rPr>
        <w:t xml:space="preserve"> de 2021</w:t>
      </w:r>
    </w:p>
    <w:p w14:paraId="15271D61"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000000" w:themeColor="text1"/>
          <w:sz w:val="24"/>
          <w:szCs w:val="24"/>
          <w:shd w:val="clear" w:color="auto" w:fill="FFFFFF"/>
          <w:lang w:val="en-US"/>
        </w:rPr>
      </w:pPr>
      <w:r w:rsidRPr="00833BA0">
        <w:rPr>
          <w:rFonts w:cstheme="minorHAnsi"/>
          <w:color w:val="000000" w:themeColor="text1"/>
          <w:sz w:val="24"/>
          <w:szCs w:val="24"/>
          <w:shd w:val="clear" w:color="auto" w:fill="FFFFFF"/>
          <w:lang w:val="en-US"/>
        </w:rPr>
        <w:t xml:space="preserve">Froyd J. E.  &amp; Lohmann, J. R. (2014) "Chronological and ontological development of engineering education as a field of scientific inquiry", Cambridge Handbook of Engineering Education Research. doi.org/10.1017/CBO9781139013451.003. </w:t>
      </w:r>
    </w:p>
    <w:p w14:paraId="189ECB7C" w14:textId="77777777" w:rsidR="00833BA0" w:rsidRPr="00833BA0" w:rsidRDefault="00833BA0" w:rsidP="00833BA0">
      <w:pPr>
        <w:pStyle w:val="Prrafodelista"/>
        <w:numPr>
          <w:ilvl w:val="0"/>
          <w:numId w:val="11"/>
        </w:numPr>
        <w:spacing w:after="0" w:line="240" w:lineRule="auto"/>
        <w:jc w:val="both"/>
        <w:rPr>
          <w:rFonts w:cstheme="minorHAnsi"/>
          <w:color w:val="000000"/>
          <w:sz w:val="24"/>
          <w:szCs w:val="24"/>
          <w:shd w:val="clear" w:color="auto" w:fill="FFFFFF"/>
          <w:lang w:val="en-US"/>
        </w:rPr>
      </w:pPr>
      <w:r w:rsidRPr="00833BA0">
        <w:rPr>
          <w:rFonts w:cstheme="minorHAnsi"/>
          <w:color w:val="000000"/>
          <w:sz w:val="24"/>
          <w:szCs w:val="24"/>
          <w:shd w:val="clear" w:color="auto" w:fill="FFFFFF"/>
          <w:lang w:val="en-US"/>
        </w:rPr>
        <w:t xml:space="preserve">Garrison, E. (2018). A History of Engineering and Technology Artful Methods: Artful Methods (2nd ed.). Routledge. </w:t>
      </w:r>
      <w:r w:rsidRPr="00833BA0">
        <w:rPr>
          <w:rFonts w:cstheme="minorHAnsi"/>
          <w:sz w:val="24"/>
          <w:szCs w:val="24"/>
          <w:shd w:val="clear" w:color="auto" w:fill="FFFFFF"/>
          <w:lang w:val="en-US"/>
        </w:rPr>
        <w:t xml:space="preserve">doi.org/10.1201/9780203751749. </w:t>
      </w:r>
      <w:r w:rsidRPr="00833BA0">
        <w:rPr>
          <w:rFonts w:cstheme="minorHAnsi"/>
          <w:color w:val="000000"/>
          <w:sz w:val="24"/>
          <w:szCs w:val="24"/>
          <w:shd w:val="clear" w:color="auto" w:fill="FFFFFF"/>
          <w:lang w:val="en-US"/>
        </w:rPr>
        <w:t xml:space="preserve"> </w:t>
      </w:r>
    </w:p>
    <w:p w14:paraId="1EF12532"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r w:rsidRPr="00833BA0">
        <w:rPr>
          <w:rFonts w:cstheme="minorHAnsi"/>
          <w:color w:val="222222"/>
          <w:sz w:val="24"/>
          <w:szCs w:val="24"/>
          <w:shd w:val="clear" w:color="auto" w:fill="FFFFFF"/>
        </w:rPr>
        <w:t xml:space="preserve">Graham, R. (2018). </w:t>
      </w:r>
      <w:proofErr w:type="spellStart"/>
      <w:r w:rsidRPr="00833BA0">
        <w:rPr>
          <w:rFonts w:cstheme="minorHAnsi"/>
          <w:color w:val="222222"/>
          <w:sz w:val="24"/>
          <w:szCs w:val="24"/>
          <w:shd w:val="clear" w:color="auto" w:fill="FFFFFF"/>
        </w:rPr>
        <w:t>The</w:t>
      </w:r>
      <w:proofErr w:type="spellEnd"/>
      <w:r w:rsidRPr="00833BA0">
        <w:rPr>
          <w:rFonts w:cstheme="minorHAnsi"/>
          <w:color w:val="222222"/>
          <w:sz w:val="24"/>
          <w:szCs w:val="24"/>
          <w:shd w:val="clear" w:color="auto" w:fill="FFFFFF"/>
        </w:rPr>
        <w:t xml:space="preserve"> global </w:t>
      </w:r>
      <w:proofErr w:type="spellStart"/>
      <w:r w:rsidRPr="00833BA0">
        <w:rPr>
          <w:rFonts w:cstheme="minorHAnsi"/>
          <w:color w:val="222222"/>
          <w:sz w:val="24"/>
          <w:szCs w:val="24"/>
          <w:shd w:val="clear" w:color="auto" w:fill="FFFFFF"/>
        </w:rPr>
        <w:t>state</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of</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the</w:t>
      </w:r>
      <w:proofErr w:type="spellEnd"/>
      <w:r w:rsidRPr="00833BA0">
        <w:rPr>
          <w:rFonts w:cstheme="minorHAnsi"/>
          <w:color w:val="222222"/>
          <w:sz w:val="24"/>
          <w:szCs w:val="24"/>
          <w:shd w:val="clear" w:color="auto" w:fill="FFFFFF"/>
        </w:rPr>
        <w:t xml:space="preserve"> art in </w:t>
      </w:r>
      <w:proofErr w:type="spellStart"/>
      <w:r w:rsidRPr="00833BA0">
        <w:rPr>
          <w:rFonts w:cstheme="minorHAnsi"/>
          <w:color w:val="222222"/>
          <w:sz w:val="24"/>
          <w:szCs w:val="24"/>
          <w:shd w:val="clear" w:color="auto" w:fill="FFFFFF"/>
        </w:rPr>
        <w:t>engineering</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education</w:t>
      </w:r>
      <w:proofErr w:type="spellEnd"/>
      <w:r w:rsidRPr="00833BA0">
        <w:rPr>
          <w:rFonts w:cstheme="minorHAnsi"/>
          <w:color w:val="222222"/>
          <w:sz w:val="24"/>
          <w:szCs w:val="24"/>
          <w:shd w:val="clear" w:color="auto" w:fill="FFFFFF"/>
        </w:rPr>
        <w:t>. </w:t>
      </w:r>
      <w:r w:rsidRPr="00833BA0">
        <w:rPr>
          <w:rFonts w:cstheme="minorHAnsi"/>
          <w:iCs/>
          <w:color w:val="222222"/>
          <w:sz w:val="24"/>
          <w:szCs w:val="24"/>
          <w:shd w:val="clear" w:color="auto" w:fill="FFFFFF"/>
        </w:rPr>
        <w:t xml:space="preserve">Massachusetts </w:t>
      </w:r>
      <w:proofErr w:type="spellStart"/>
      <w:r w:rsidRPr="00833BA0">
        <w:rPr>
          <w:rFonts w:cstheme="minorHAnsi"/>
          <w:iCs/>
          <w:color w:val="222222"/>
          <w:sz w:val="24"/>
          <w:szCs w:val="24"/>
          <w:shd w:val="clear" w:color="auto" w:fill="FFFFFF"/>
        </w:rPr>
        <w:t>Institute</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of</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Technology</w:t>
      </w:r>
      <w:proofErr w:type="spellEnd"/>
      <w:r w:rsidRPr="00833BA0">
        <w:rPr>
          <w:rFonts w:cstheme="minorHAnsi"/>
          <w:iCs/>
          <w:color w:val="222222"/>
          <w:sz w:val="24"/>
          <w:szCs w:val="24"/>
          <w:shd w:val="clear" w:color="auto" w:fill="FFFFFF"/>
        </w:rPr>
        <w:t xml:space="preserve"> (MIT) </w:t>
      </w:r>
      <w:proofErr w:type="spellStart"/>
      <w:r w:rsidRPr="00833BA0">
        <w:rPr>
          <w:rFonts w:cstheme="minorHAnsi"/>
          <w:iCs/>
          <w:color w:val="222222"/>
          <w:sz w:val="24"/>
          <w:szCs w:val="24"/>
          <w:shd w:val="clear" w:color="auto" w:fill="FFFFFF"/>
        </w:rPr>
        <w:t>Report</w:t>
      </w:r>
      <w:proofErr w:type="spellEnd"/>
      <w:r w:rsidRPr="00833BA0">
        <w:rPr>
          <w:rFonts w:cstheme="minorHAnsi"/>
          <w:iCs/>
          <w:color w:val="222222"/>
          <w:sz w:val="24"/>
          <w:szCs w:val="24"/>
          <w:shd w:val="clear" w:color="auto" w:fill="FFFFFF"/>
        </w:rPr>
        <w:t>, Massachusetts, USA</w:t>
      </w:r>
      <w:r w:rsidRPr="00833BA0">
        <w:rPr>
          <w:rFonts w:cstheme="minorHAnsi"/>
          <w:color w:val="222222"/>
          <w:sz w:val="24"/>
          <w:szCs w:val="24"/>
          <w:shd w:val="clear" w:color="auto" w:fill="FFFFFF"/>
        </w:rPr>
        <w:t>.</w:t>
      </w:r>
    </w:p>
    <w:p w14:paraId="242CBE24"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202020"/>
          <w:sz w:val="24"/>
          <w:szCs w:val="24"/>
          <w:shd w:val="clear" w:color="auto" w:fill="FFFFFF"/>
          <w:lang w:val="en-US"/>
        </w:rPr>
      </w:pPr>
      <w:r w:rsidRPr="00833BA0">
        <w:rPr>
          <w:rFonts w:cstheme="minorHAnsi"/>
          <w:color w:val="222222"/>
          <w:sz w:val="24"/>
          <w:szCs w:val="24"/>
          <w:shd w:val="clear" w:color="auto" w:fill="FFFFFF"/>
        </w:rPr>
        <w:t>Gutiérrez, J. C. L., Pérez, I., &amp; Aguirre, J. M. L. (2017). Didáctica universitaria: una didáctica específica comprometida con el aprendizaje en el aula universitaria. </w:t>
      </w:r>
      <w:r w:rsidRPr="00833BA0">
        <w:rPr>
          <w:rFonts w:cstheme="minorHAnsi"/>
          <w:iCs/>
          <w:color w:val="222222"/>
          <w:sz w:val="24"/>
          <w:szCs w:val="24"/>
          <w:shd w:val="clear" w:color="auto" w:fill="FFFFFF"/>
        </w:rPr>
        <w:t>Dominio de las Ciencias</w:t>
      </w:r>
      <w:r w:rsidRPr="00833BA0">
        <w:rPr>
          <w:rFonts w:cstheme="minorHAnsi"/>
          <w:color w:val="222222"/>
          <w:sz w:val="24"/>
          <w:szCs w:val="24"/>
          <w:shd w:val="clear" w:color="auto" w:fill="FFFFFF"/>
        </w:rPr>
        <w:t>, </w:t>
      </w:r>
      <w:r w:rsidRPr="00833BA0">
        <w:rPr>
          <w:rFonts w:cstheme="minorHAnsi"/>
          <w:iCs/>
          <w:color w:val="222222"/>
          <w:sz w:val="24"/>
          <w:szCs w:val="24"/>
          <w:shd w:val="clear" w:color="auto" w:fill="FFFFFF"/>
        </w:rPr>
        <w:t>3</w:t>
      </w:r>
      <w:r w:rsidRPr="00833BA0">
        <w:rPr>
          <w:rFonts w:cstheme="minorHAnsi"/>
          <w:color w:val="222222"/>
          <w:sz w:val="24"/>
          <w:szCs w:val="24"/>
          <w:shd w:val="clear" w:color="auto" w:fill="FFFFFF"/>
        </w:rPr>
        <w:t xml:space="preserve">(3), 1290-1308. </w:t>
      </w:r>
    </w:p>
    <w:p w14:paraId="63872FC9"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r w:rsidRPr="00833BA0">
        <w:rPr>
          <w:rFonts w:cstheme="minorHAnsi"/>
          <w:sz w:val="24"/>
          <w:szCs w:val="24"/>
          <w:lang w:val="en-US"/>
        </w:rPr>
        <w:t xml:space="preserve">Hill, D. (2013). A History of Engineering in Classical and Medieval Times (2nd ed.). Routledge. doi.org/10.4324/9781315800110. </w:t>
      </w:r>
    </w:p>
    <w:p w14:paraId="54412183"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222222"/>
          <w:sz w:val="24"/>
          <w:szCs w:val="24"/>
          <w:shd w:val="clear" w:color="auto" w:fill="FFFFFF"/>
          <w:lang w:val="en-US"/>
        </w:rPr>
      </w:pPr>
      <w:r w:rsidRPr="00833BA0">
        <w:rPr>
          <w:rFonts w:cstheme="minorHAnsi"/>
          <w:color w:val="222222"/>
          <w:sz w:val="24"/>
          <w:szCs w:val="24"/>
          <w:shd w:val="clear" w:color="auto" w:fill="FFFFFF"/>
          <w:lang w:val="en-US"/>
        </w:rPr>
        <w:t>Kezar, A., &amp; Gehrke, S. (2017). Strategies for achieving scale within communities of practice aimed at pedagogical reform in higher education. </w:t>
      </w:r>
      <w:r w:rsidRPr="00833BA0">
        <w:rPr>
          <w:rFonts w:cstheme="minorHAnsi"/>
          <w:iCs/>
          <w:color w:val="222222"/>
          <w:sz w:val="24"/>
          <w:szCs w:val="24"/>
          <w:shd w:val="clear" w:color="auto" w:fill="FFFFFF"/>
          <w:lang w:val="en-US"/>
        </w:rPr>
        <w:t>Journal of STEM Education: Innovations and Research</w:t>
      </w:r>
      <w:r w:rsidRPr="00833BA0">
        <w:rPr>
          <w:rFonts w:cstheme="minorHAnsi"/>
          <w:color w:val="222222"/>
          <w:sz w:val="24"/>
          <w:szCs w:val="24"/>
          <w:shd w:val="clear" w:color="auto" w:fill="FFFFFF"/>
          <w:lang w:val="en-US"/>
        </w:rPr>
        <w:t>, </w:t>
      </w:r>
      <w:r w:rsidRPr="00833BA0">
        <w:rPr>
          <w:rFonts w:cstheme="minorHAnsi"/>
          <w:iCs/>
          <w:color w:val="222222"/>
          <w:sz w:val="24"/>
          <w:szCs w:val="24"/>
          <w:shd w:val="clear" w:color="auto" w:fill="FFFFFF"/>
          <w:lang w:val="en-US"/>
        </w:rPr>
        <w:t>18</w:t>
      </w:r>
      <w:r w:rsidRPr="00833BA0">
        <w:rPr>
          <w:rFonts w:cstheme="minorHAnsi"/>
          <w:color w:val="222222"/>
          <w:sz w:val="24"/>
          <w:szCs w:val="24"/>
          <w:shd w:val="clear" w:color="auto" w:fill="FFFFFF"/>
          <w:lang w:val="en-US"/>
        </w:rPr>
        <w:t>(1).</w:t>
      </w:r>
    </w:p>
    <w:p w14:paraId="61AF8338"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r w:rsidRPr="00833BA0">
        <w:rPr>
          <w:rFonts w:cstheme="minorHAnsi"/>
          <w:color w:val="222222"/>
          <w:sz w:val="24"/>
          <w:szCs w:val="24"/>
          <w:shd w:val="clear" w:color="auto" w:fill="FFFFFF"/>
        </w:rPr>
        <w:t xml:space="preserve">König, W. (2016). </w:t>
      </w:r>
      <w:proofErr w:type="spellStart"/>
      <w:r w:rsidRPr="00833BA0">
        <w:rPr>
          <w:rFonts w:cstheme="minorHAnsi"/>
          <w:color w:val="222222"/>
          <w:sz w:val="24"/>
          <w:szCs w:val="24"/>
          <w:shd w:val="clear" w:color="auto" w:fill="FFFFFF"/>
        </w:rPr>
        <w:t>Education</w:t>
      </w:r>
      <w:proofErr w:type="spellEnd"/>
      <w:r w:rsidRPr="00833BA0">
        <w:rPr>
          <w:rFonts w:cstheme="minorHAnsi"/>
          <w:color w:val="222222"/>
          <w:sz w:val="24"/>
          <w:szCs w:val="24"/>
          <w:shd w:val="clear" w:color="auto" w:fill="FFFFFF"/>
        </w:rPr>
        <w:t xml:space="preserve"> and Social Standing: German </w:t>
      </w:r>
      <w:proofErr w:type="spellStart"/>
      <w:r w:rsidRPr="00833BA0">
        <w:rPr>
          <w:rFonts w:cstheme="minorHAnsi"/>
          <w:color w:val="222222"/>
          <w:sz w:val="24"/>
          <w:szCs w:val="24"/>
          <w:shd w:val="clear" w:color="auto" w:fill="FFFFFF"/>
        </w:rPr>
        <w:t>Engineers</w:t>
      </w:r>
      <w:proofErr w:type="spellEnd"/>
      <w:r w:rsidRPr="00833BA0">
        <w:rPr>
          <w:rFonts w:cstheme="minorHAnsi"/>
          <w:color w:val="222222"/>
          <w:sz w:val="24"/>
          <w:szCs w:val="24"/>
          <w:shd w:val="clear" w:color="auto" w:fill="FFFFFF"/>
        </w:rPr>
        <w:t>, 1870-1930. </w:t>
      </w:r>
      <w:proofErr w:type="spellStart"/>
      <w:r w:rsidRPr="00833BA0">
        <w:rPr>
          <w:rFonts w:cstheme="minorHAnsi"/>
          <w:iCs/>
          <w:color w:val="222222"/>
          <w:sz w:val="24"/>
          <w:szCs w:val="24"/>
          <w:shd w:val="clear" w:color="auto" w:fill="FFFFFF"/>
        </w:rPr>
        <w:t>Quaderns</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d'història</w:t>
      </w:r>
      <w:proofErr w:type="spellEnd"/>
      <w:r w:rsidRPr="00833BA0">
        <w:rPr>
          <w:rFonts w:cstheme="minorHAnsi"/>
          <w:iCs/>
          <w:color w:val="222222"/>
          <w:sz w:val="24"/>
          <w:szCs w:val="24"/>
          <w:shd w:val="clear" w:color="auto" w:fill="FFFFFF"/>
        </w:rPr>
        <w:t xml:space="preserve"> de </w:t>
      </w:r>
      <w:proofErr w:type="spellStart"/>
      <w:r w:rsidRPr="00833BA0">
        <w:rPr>
          <w:rFonts w:cstheme="minorHAnsi"/>
          <w:iCs/>
          <w:color w:val="222222"/>
          <w:sz w:val="24"/>
          <w:szCs w:val="24"/>
          <w:shd w:val="clear" w:color="auto" w:fill="FFFFFF"/>
        </w:rPr>
        <w:t>l'enginyeria</w:t>
      </w:r>
      <w:proofErr w:type="spellEnd"/>
      <w:r w:rsidRPr="00833BA0">
        <w:rPr>
          <w:rFonts w:cstheme="minorHAnsi"/>
          <w:color w:val="222222"/>
          <w:sz w:val="24"/>
          <w:szCs w:val="24"/>
          <w:shd w:val="clear" w:color="auto" w:fill="FFFFFF"/>
        </w:rPr>
        <w:t>, </w:t>
      </w:r>
      <w:r w:rsidRPr="00833BA0">
        <w:rPr>
          <w:rFonts w:cstheme="minorHAnsi"/>
          <w:iCs/>
          <w:color w:val="222222"/>
          <w:sz w:val="24"/>
          <w:szCs w:val="24"/>
          <w:shd w:val="clear" w:color="auto" w:fill="FFFFFF"/>
        </w:rPr>
        <w:t>15</w:t>
      </w:r>
      <w:r w:rsidRPr="00833BA0">
        <w:rPr>
          <w:rFonts w:cstheme="minorHAnsi"/>
          <w:color w:val="222222"/>
          <w:sz w:val="24"/>
          <w:szCs w:val="24"/>
          <w:shd w:val="clear" w:color="auto" w:fill="FFFFFF"/>
        </w:rPr>
        <w:t>, 113-121.</w:t>
      </w:r>
    </w:p>
    <w:p w14:paraId="2549D303"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000000" w:themeColor="text1"/>
          <w:sz w:val="24"/>
          <w:szCs w:val="24"/>
          <w:shd w:val="clear" w:color="auto" w:fill="FFFFFF"/>
          <w:lang w:val="en-US"/>
        </w:rPr>
      </w:pPr>
      <w:r w:rsidRPr="00833BA0">
        <w:rPr>
          <w:rFonts w:cstheme="minorHAnsi"/>
          <w:color w:val="000000" w:themeColor="text1"/>
          <w:sz w:val="24"/>
          <w:szCs w:val="24"/>
          <w:shd w:val="clear" w:color="auto" w:fill="FFFFFF"/>
          <w:lang w:val="en-US"/>
        </w:rPr>
        <w:t>Kosub, S., (2019). A note on the triangle inequality for the Jaccard distance, Pattern Recognition Letters. doi.org/10.1016/j.patrec.2018.12.007.</w:t>
      </w:r>
    </w:p>
    <w:p w14:paraId="1C30E180"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000000" w:themeColor="text1"/>
          <w:sz w:val="24"/>
          <w:szCs w:val="24"/>
          <w:shd w:val="clear" w:color="auto" w:fill="FFFFFF"/>
          <w:lang w:val="en-US"/>
        </w:rPr>
      </w:pPr>
      <w:r w:rsidRPr="00833BA0">
        <w:rPr>
          <w:rFonts w:cstheme="minorHAnsi"/>
          <w:color w:val="000000" w:themeColor="text1"/>
          <w:sz w:val="24"/>
          <w:szCs w:val="24"/>
          <w:shd w:val="clear" w:color="auto" w:fill="FFFFFF"/>
          <w:lang w:val="en-US"/>
        </w:rPr>
        <w:t>León, V. E. &amp; y Herrera, J. L., (2014): “</w:t>
      </w:r>
      <w:proofErr w:type="spellStart"/>
      <w:r w:rsidRPr="00833BA0">
        <w:rPr>
          <w:rFonts w:cstheme="minorHAnsi"/>
          <w:color w:val="000000" w:themeColor="text1"/>
          <w:sz w:val="24"/>
          <w:szCs w:val="24"/>
          <w:shd w:val="clear" w:color="auto" w:fill="FFFFFF"/>
          <w:lang w:val="en-US"/>
        </w:rPr>
        <w:t>Problemas</w:t>
      </w:r>
      <w:proofErr w:type="spellEnd"/>
      <w:r w:rsidRPr="00833BA0">
        <w:rPr>
          <w:rFonts w:cstheme="minorHAnsi"/>
          <w:color w:val="000000" w:themeColor="text1"/>
          <w:sz w:val="24"/>
          <w:szCs w:val="24"/>
          <w:shd w:val="clear" w:color="auto" w:fill="FFFFFF"/>
          <w:lang w:val="en-US"/>
        </w:rPr>
        <w:t xml:space="preserve"> </w:t>
      </w:r>
      <w:proofErr w:type="spellStart"/>
      <w:r w:rsidRPr="00833BA0">
        <w:rPr>
          <w:rFonts w:cstheme="minorHAnsi"/>
          <w:color w:val="000000" w:themeColor="text1"/>
          <w:sz w:val="24"/>
          <w:szCs w:val="24"/>
          <w:shd w:val="clear" w:color="auto" w:fill="FFFFFF"/>
          <w:lang w:val="en-US"/>
        </w:rPr>
        <w:t>epistemológicos</w:t>
      </w:r>
      <w:proofErr w:type="spellEnd"/>
      <w:r w:rsidRPr="00833BA0">
        <w:rPr>
          <w:rFonts w:cstheme="minorHAnsi"/>
          <w:color w:val="000000" w:themeColor="text1"/>
          <w:sz w:val="24"/>
          <w:szCs w:val="24"/>
          <w:shd w:val="clear" w:color="auto" w:fill="FFFFFF"/>
          <w:lang w:val="en-US"/>
        </w:rPr>
        <w:t xml:space="preserve"> de la </w:t>
      </w:r>
      <w:proofErr w:type="spellStart"/>
      <w:r w:rsidRPr="00833BA0">
        <w:rPr>
          <w:rFonts w:cstheme="minorHAnsi"/>
          <w:color w:val="000000" w:themeColor="text1"/>
          <w:sz w:val="24"/>
          <w:szCs w:val="24"/>
          <w:shd w:val="clear" w:color="auto" w:fill="FFFFFF"/>
          <w:lang w:val="en-US"/>
        </w:rPr>
        <w:t>didáctica</w:t>
      </w:r>
      <w:proofErr w:type="spellEnd"/>
      <w:r w:rsidRPr="00833BA0">
        <w:rPr>
          <w:rFonts w:cstheme="minorHAnsi"/>
          <w:color w:val="000000" w:themeColor="text1"/>
          <w:sz w:val="24"/>
          <w:szCs w:val="24"/>
          <w:shd w:val="clear" w:color="auto" w:fill="FFFFFF"/>
          <w:lang w:val="en-US"/>
        </w:rPr>
        <w:t xml:space="preserve">: </w:t>
      </w:r>
      <w:proofErr w:type="spellStart"/>
      <w:r w:rsidRPr="00833BA0">
        <w:rPr>
          <w:rFonts w:cstheme="minorHAnsi"/>
          <w:color w:val="000000" w:themeColor="text1"/>
          <w:sz w:val="24"/>
          <w:szCs w:val="24"/>
          <w:shd w:val="clear" w:color="auto" w:fill="FFFFFF"/>
          <w:lang w:val="en-US"/>
        </w:rPr>
        <w:t>apuntes</w:t>
      </w:r>
      <w:proofErr w:type="spellEnd"/>
      <w:r w:rsidRPr="00833BA0">
        <w:rPr>
          <w:rFonts w:cstheme="minorHAnsi"/>
          <w:color w:val="000000" w:themeColor="text1"/>
          <w:sz w:val="24"/>
          <w:szCs w:val="24"/>
          <w:shd w:val="clear" w:color="auto" w:fill="FFFFFF"/>
          <w:lang w:val="en-US"/>
        </w:rPr>
        <w:t xml:space="preserve"> para el debate”, </w:t>
      </w:r>
      <w:proofErr w:type="spellStart"/>
      <w:r w:rsidRPr="00833BA0">
        <w:rPr>
          <w:rFonts w:cstheme="minorHAnsi"/>
          <w:color w:val="000000" w:themeColor="text1"/>
          <w:sz w:val="24"/>
          <w:szCs w:val="24"/>
          <w:shd w:val="clear" w:color="auto" w:fill="FFFFFF"/>
          <w:lang w:val="en-US"/>
        </w:rPr>
        <w:t>Revista</w:t>
      </w:r>
      <w:proofErr w:type="spellEnd"/>
      <w:r w:rsidRPr="00833BA0">
        <w:rPr>
          <w:rFonts w:cstheme="minorHAnsi"/>
          <w:color w:val="000000" w:themeColor="text1"/>
          <w:sz w:val="24"/>
          <w:szCs w:val="24"/>
          <w:shd w:val="clear" w:color="auto" w:fill="FFFFFF"/>
          <w:lang w:val="en-US"/>
        </w:rPr>
        <w:t xml:space="preserve"> </w:t>
      </w:r>
      <w:proofErr w:type="spellStart"/>
      <w:r w:rsidRPr="00833BA0">
        <w:rPr>
          <w:rFonts w:cstheme="minorHAnsi"/>
          <w:color w:val="000000" w:themeColor="text1"/>
          <w:sz w:val="24"/>
          <w:szCs w:val="24"/>
          <w:shd w:val="clear" w:color="auto" w:fill="FFFFFF"/>
          <w:lang w:val="en-US"/>
        </w:rPr>
        <w:t>Atlante</w:t>
      </w:r>
      <w:proofErr w:type="spellEnd"/>
      <w:r w:rsidRPr="00833BA0">
        <w:rPr>
          <w:rFonts w:cstheme="minorHAnsi"/>
          <w:color w:val="000000" w:themeColor="text1"/>
          <w:sz w:val="24"/>
          <w:szCs w:val="24"/>
          <w:shd w:val="clear" w:color="auto" w:fill="FFFFFF"/>
          <w:lang w:val="en-US"/>
        </w:rPr>
        <w:t xml:space="preserve">: </w:t>
      </w:r>
      <w:proofErr w:type="spellStart"/>
      <w:r w:rsidRPr="00833BA0">
        <w:rPr>
          <w:rFonts w:cstheme="minorHAnsi"/>
          <w:color w:val="000000" w:themeColor="text1"/>
          <w:sz w:val="24"/>
          <w:szCs w:val="24"/>
          <w:shd w:val="clear" w:color="auto" w:fill="FFFFFF"/>
          <w:lang w:val="en-US"/>
        </w:rPr>
        <w:t>Cuadernos</w:t>
      </w:r>
      <w:proofErr w:type="spellEnd"/>
      <w:r w:rsidRPr="00833BA0">
        <w:rPr>
          <w:rFonts w:cstheme="minorHAnsi"/>
          <w:color w:val="000000" w:themeColor="text1"/>
          <w:sz w:val="24"/>
          <w:szCs w:val="24"/>
          <w:shd w:val="clear" w:color="auto" w:fill="FFFFFF"/>
          <w:lang w:val="en-US"/>
        </w:rPr>
        <w:t xml:space="preserve"> de </w:t>
      </w:r>
      <w:proofErr w:type="spellStart"/>
      <w:r w:rsidRPr="00833BA0">
        <w:rPr>
          <w:rFonts w:cstheme="minorHAnsi"/>
          <w:color w:val="000000" w:themeColor="text1"/>
          <w:sz w:val="24"/>
          <w:szCs w:val="24"/>
          <w:shd w:val="clear" w:color="auto" w:fill="FFFFFF"/>
          <w:lang w:val="en-US"/>
        </w:rPr>
        <w:t>Educación</w:t>
      </w:r>
      <w:proofErr w:type="spellEnd"/>
      <w:r w:rsidRPr="00833BA0">
        <w:rPr>
          <w:rFonts w:cstheme="minorHAnsi"/>
          <w:color w:val="000000" w:themeColor="text1"/>
          <w:sz w:val="24"/>
          <w:szCs w:val="24"/>
          <w:shd w:val="clear" w:color="auto" w:fill="FFFFFF"/>
          <w:lang w:val="en-US"/>
        </w:rPr>
        <w:t xml:space="preserve"> y Desarrollo (</w:t>
      </w:r>
      <w:proofErr w:type="spellStart"/>
      <w:r w:rsidRPr="00833BA0">
        <w:rPr>
          <w:rFonts w:cstheme="minorHAnsi"/>
          <w:color w:val="000000" w:themeColor="text1"/>
          <w:sz w:val="24"/>
          <w:szCs w:val="24"/>
          <w:shd w:val="clear" w:color="auto" w:fill="FFFFFF"/>
          <w:lang w:val="en-US"/>
        </w:rPr>
        <w:t>octubre</w:t>
      </w:r>
      <w:proofErr w:type="spellEnd"/>
      <w:r w:rsidRPr="00833BA0">
        <w:rPr>
          <w:rFonts w:cstheme="minorHAnsi"/>
          <w:color w:val="000000" w:themeColor="text1"/>
          <w:sz w:val="24"/>
          <w:szCs w:val="24"/>
          <w:shd w:val="clear" w:color="auto" w:fill="FFFFFF"/>
          <w:lang w:val="en-US"/>
        </w:rPr>
        <w:t xml:space="preserve"> 2014). </w:t>
      </w:r>
      <w:proofErr w:type="spellStart"/>
      <w:r w:rsidRPr="00833BA0">
        <w:rPr>
          <w:rFonts w:cstheme="minorHAnsi"/>
          <w:color w:val="000000" w:themeColor="text1"/>
          <w:sz w:val="24"/>
          <w:szCs w:val="24"/>
          <w:shd w:val="clear" w:color="auto" w:fill="FFFFFF"/>
          <w:lang w:val="en-US"/>
        </w:rPr>
        <w:t>En</w:t>
      </w:r>
      <w:proofErr w:type="spellEnd"/>
      <w:r w:rsidRPr="00833BA0">
        <w:rPr>
          <w:rFonts w:cstheme="minorHAnsi"/>
          <w:color w:val="000000" w:themeColor="text1"/>
          <w:sz w:val="24"/>
          <w:szCs w:val="24"/>
          <w:shd w:val="clear" w:color="auto" w:fill="FFFFFF"/>
          <w:lang w:val="en-US"/>
        </w:rPr>
        <w:t xml:space="preserve"> </w:t>
      </w:r>
      <w:proofErr w:type="spellStart"/>
      <w:r w:rsidRPr="00833BA0">
        <w:rPr>
          <w:rFonts w:cstheme="minorHAnsi"/>
          <w:color w:val="000000" w:themeColor="text1"/>
          <w:sz w:val="24"/>
          <w:szCs w:val="24"/>
          <w:shd w:val="clear" w:color="auto" w:fill="FFFFFF"/>
          <w:lang w:val="en-US"/>
        </w:rPr>
        <w:t>línea</w:t>
      </w:r>
      <w:proofErr w:type="spellEnd"/>
      <w:r w:rsidRPr="00833BA0">
        <w:rPr>
          <w:rFonts w:cstheme="minorHAnsi"/>
          <w:color w:val="000000" w:themeColor="text1"/>
          <w:sz w:val="24"/>
          <w:szCs w:val="24"/>
          <w:shd w:val="clear" w:color="auto" w:fill="FFFFFF"/>
          <w:lang w:val="en-US"/>
        </w:rPr>
        <w:t xml:space="preserve">: </w:t>
      </w:r>
      <w:hyperlink r:id="rId14" w:history="1">
        <w:r w:rsidRPr="00833BA0">
          <w:rPr>
            <w:rStyle w:val="Hipervnculo"/>
            <w:rFonts w:cstheme="minorHAnsi"/>
            <w:sz w:val="24"/>
            <w:szCs w:val="24"/>
            <w:shd w:val="clear" w:color="auto" w:fill="FFFFFF"/>
            <w:lang w:val="en-US"/>
          </w:rPr>
          <w:t>https://www.eumed.net/rev/atlante/2014/10/problemas-didactica.html</w:t>
        </w:r>
      </w:hyperlink>
      <w:r w:rsidRPr="00833BA0">
        <w:rPr>
          <w:rFonts w:cstheme="minorHAnsi"/>
          <w:color w:val="000000" w:themeColor="text1"/>
          <w:sz w:val="24"/>
          <w:szCs w:val="24"/>
          <w:shd w:val="clear" w:color="auto" w:fill="FFFFFF"/>
          <w:lang w:val="en-US"/>
        </w:rPr>
        <w:t xml:space="preserve">. </w:t>
      </w:r>
      <w:proofErr w:type="spellStart"/>
      <w:r w:rsidRPr="00833BA0">
        <w:rPr>
          <w:rFonts w:cstheme="minorHAnsi"/>
          <w:color w:val="000000" w:themeColor="text1"/>
          <w:sz w:val="24"/>
          <w:szCs w:val="24"/>
          <w:shd w:val="clear" w:color="auto" w:fill="FFFFFF"/>
          <w:lang w:val="en-US"/>
        </w:rPr>
        <w:t>Consultado</w:t>
      </w:r>
      <w:proofErr w:type="spellEnd"/>
      <w:r w:rsidRPr="00833BA0">
        <w:rPr>
          <w:rFonts w:cstheme="minorHAnsi"/>
          <w:color w:val="000000" w:themeColor="text1"/>
          <w:sz w:val="24"/>
          <w:szCs w:val="24"/>
          <w:shd w:val="clear" w:color="auto" w:fill="FFFFFF"/>
          <w:lang w:val="en-US"/>
        </w:rPr>
        <w:t xml:space="preserve"> 23 de </w:t>
      </w:r>
      <w:proofErr w:type="spellStart"/>
      <w:r w:rsidRPr="00833BA0">
        <w:rPr>
          <w:rFonts w:cstheme="minorHAnsi"/>
          <w:color w:val="000000" w:themeColor="text1"/>
          <w:sz w:val="24"/>
          <w:szCs w:val="24"/>
          <w:shd w:val="clear" w:color="auto" w:fill="FFFFFF"/>
          <w:lang w:val="en-US"/>
        </w:rPr>
        <w:t>noviembre</w:t>
      </w:r>
      <w:proofErr w:type="spellEnd"/>
      <w:r w:rsidRPr="00833BA0">
        <w:rPr>
          <w:rFonts w:cstheme="minorHAnsi"/>
          <w:color w:val="000000" w:themeColor="text1"/>
          <w:sz w:val="24"/>
          <w:szCs w:val="24"/>
          <w:shd w:val="clear" w:color="auto" w:fill="FFFFFF"/>
          <w:lang w:val="en-US"/>
        </w:rPr>
        <w:t xml:space="preserve"> de 2021. </w:t>
      </w:r>
    </w:p>
    <w:p w14:paraId="1A47A2F3"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000000" w:themeColor="text1"/>
          <w:sz w:val="24"/>
          <w:szCs w:val="24"/>
          <w:shd w:val="clear" w:color="auto" w:fill="FFFFFF"/>
          <w:lang w:val="en-US"/>
        </w:rPr>
      </w:pPr>
      <w:r w:rsidRPr="00B3068B">
        <w:rPr>
          <w:rFonts w:cstheme="minorHAnsi"/>
          <w:color w:val="222222"/>
          <w:sz w:val="24"/>
          <w:szCs w:val="24"/>
          <w:shd w:val="clear" w:color="auto" w:fill="FFFFFF"/>
          <w:lang w:val="en-US"/>
        </w:rPr>
        <w:t xml:space="preserve">Luchini, K., Colbry, D., Rojewski, J., &amp; </w:t>
      </w:r>
      <w:proofErr w:type="spellStart"/>
      <w:r w:rsidRPr="00B3068B">
        <w:rPr>
          <w:rFonts w:cstheme="minorHAnsi"/>
          <w:color w:val="222222"/>
          <w:sz w:val="24"/>
          <w:szCs w:val="24"/>
          <w:shd w:val="clear" w:color="auto" w:fill="FFFFFF"/>
          <w:lang w:val="en-US"/>
        </w:rPr>
        <w:t>Briliyanti</w:t>
      </w:r>
      <w:proofErr w:type="spellEnd"/>
      <w:r w:rsidRPr="00B3068B">
        <w:rPr>
          <w:rFonts w:cstheme="minorHAnsi"/>
          <w:color w:val="222222"/>
          <w:sz w:val="24"/>
          <w:szCs w:val="24"/>
          <w:shd w:val="clear" w:color="auto" w:fill="FFFFFF"/>
          <w:lang w:val="en-US"/>
        </w:rPr>
        <w:t xml:space="preserve">, A. (2019, January). Partners in Professional Development: Initial Results from a Collaboration Between Universities, Training Programs, and Professional Societies. </w:t>
      </w:r>
      <w:r w:rsidRPr="00833BA0">
        <w:rPr>
          <w:rFonts w:cstheme="minorHAnsi"/>
          <w:color w:val="222222"/>
          <w:sz w:val="24"/>
          <w:szCs w:val="24"/>
          <w:shd w:val="clear" w:color="auto" w:fill="FFFFFF"/>
        </w:rPr>
        <w:t>In </w:t>
      </w:r>
      <w:proofErr w:type="spellStart"/>
      <w:r w:rsidRPr="00833BA0">
        <w:rPr>
          <w:rFonts w:cstheme="minorHAnsi"/>
          <w:iCs/>
          <w:color w:val="222222"/>
          <w:sz w:val="24"/>
          <w:szCs w:val="24"/>
          <w:shd w:val="clear" w:color="auto" w:fill="FFFFFF"/>
        </w:rPr>
        <w:t>Proceedings</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of</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the</w:t>
      </w:r>
      <w:proofErr w:type="spellEnd"/>
      <w:r w:rsidRPr="00833BA0">
        <w:rPr>
          <w:rFonts w:cstheme="minorHAnsi"/>
          <w:iCs/>
          <w:color w:val="222222"/>
          <w:sz w:val="24"/>
          <w:szCs w:val="24"/>
          <w:shd w:val="clear" w:color="auto" w:fill="FFFFFF"/>
        </w:rPr>
        <w:t xml:space="preserve"> 2019 ASEE </w:t>
      </w:r>
      <w:proofErr w:type="spellStart"/>
      <w:r w:rsidRPr="00833BA0">
        <w:rPr>
          <w:rFonts w:cstheme="minorHAnsi"/>
          <w:iCs/>
          <w:color w:val="222222"/>
          <w:sz w:val="24"/>
          <w:szCs w:val="24"/>
          <w:shd w:val="clear" w:color="auto" w:fill="FFFFFF"/>
        </w:rPr>
        <w:t>Annual</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Conference</w:t>
      </w:r>
      <w:proofErr w:type="spellEnd"/>
      <w:r w:rsidRPr="00833BA0">
        <w:rPr>
          <w:rFonts w:cstheme="minorHAnsi"/>
          <w:iCs/>
          <w:color w:val="222222"/>
          <w:sz w:val="24"/>
          <w:szCs w:val="24"/>
          <w:shd w:val="clear" w:color="auto" w:fill="FFFFFF"/>
        </w:rPr>
        <w:t xml:space="preserve"> &amp; </w:t>
      </w:r>
      <w:proofErr w:type="spellStart"/>
      <w:r w:rsidRPr="00833BA0">
        <w:rPr>
          <w:rFonts w:cstheme="minorHAnsi"/>
          <w:iCs/>
          <w:color w:val="222222"/>
          <w:sz w:val="24"/>
          <w:szCs w:val="24"/>
          <w:shd w:val="clear" w:color="auto" w:fill="FFFFFF"/>
        </w:rPr>
        <w:t>Exposition</w:t>
      </w:r>
      <w:proofErr w:type="spellEnd"/>
      <w:r w:rsidRPr="00833BA0">
        <w:rPr>
          <w:rFonts w:cstheme="minorHAnsi"/>
          <w:color w:val="222222"/>
          <w:sz w:val="24"/>
          <w:szCs w:val="24"/>
          <w:shd w:val="clear" w:color="auto" w:fill="FFFFFF"/>
        </w:rPr>
        <w:t>.</w:t>
      </w:r>
    </w:p>
    <w:p w14:paraId="494307A3" w14:textId="77777777" w:rsidR="00833BA0" w:rsidRPr="00833BA0" w:rsidRDefault="00833BA0" w:rsidP="00833BA0">
      <w:pPr>
        <w:pStyle w:val="Prrafodelista"/>
        <w:numPr>
          <w:ilvl w:val="0"/>
          <w:numId w:val="11"/>
        </w:numPr>
        <w:spacing w:after="0" w:line="240" w:lineRule="auto"/>
        <w:jc w:val="both"/>
        <w:rPr>
          <w:rFonts w:cstheme="minorHAnsi"/>
          <w:color w:val="333333"/>
          <w:spacing w:val="4"/>
          <w:sz w:val="24"/>
          <w:szCs w:val="24"/>
          <w:shd w:val="clear" w:color="auto" w:fill="FCFCFC"/>
          <w:lang w:val="en-US"/>
        </w:rPr>
      </w:pPr>
      <w:proofErr w:type="spellStart"/>
      <w:r w:rsidRPr="00833BA0">
        <w:rPr>
          <w:rFonts w:cstheme="minorHAnsi"/>
          <w:color w:val="333333"/>
          <w:spacing w:val="4"/>
          <w:sz w:val="24"/>
          <w:szCs w:val="24"/>
          <w:shd w:val="clear" w:color="auto" w:fill="FCFCFC"/>
          <w:lang w:val="en-US"/>
        </w:rPr>
        <w:t>Maraghy</w:t>
      </w:r>
      <w:proofErr w:type="spellEnd"/>
      <w:r w:rsidRPr="00833BA0">
        <w:rPr>
          <w:rFonts w:cstheme="minorHAnsi"/>
          <w:color w:val="333333"/>
          <w:spacing w:val="4"/>
          <w:sz w:val="24"/>
          <w:szCs w:val="24"/>
          <w:shd w:val="clear" w:color="auto" w:fill="FCFCFC"/>
          <w:lang w:val="en-US"/>
        </w:rPr>
        <w:t xml:space="preserve"> W. H. E. (2011). Future Trends in Engineering Education and Research. In: Seliger G., </w:t>
      </w:r>
      <w:proofErr w:type="spellStart"/>
      <w:r w:rsidRPr="00833BA0">
        <w:rPr>
          <w:rFonts w:cstheme="minorHAnsi"/>
          <w:color w:val="333333"/>
          <w:spacing w:val="4"/>
          <w:sz w:val="24"/>
          <w:szCs w:val="24"/>
          <w:shd w:val="clear" w:color="auto" w:fill="FCFCFC"/>
          <w:lang w:val="en-US"/>
        </w:rPr>
        <w:t>Khraisheh</w:t>
      </w:r>
      <w:proofErr w:type="spellEnd"/>
      <w:r w:rsidRPr="00833BA0">
        <w:rPr>
          <w:rFonts w:cstheme="minorHAnsi"/>
          <w:color w:val="333333"/>
          <w:spacing w:val="4"/>
          <w:sz w:val="24"/>
          <w:szCs w:val="24"/>
          <w:shd w:val="clear" w:color="auto" w:fill="FCFCFC"/>
          <w:lang w:val="en-US"/>
        </w:rPr>
        <w:t xml:space="preserve"> M., Jawahir I. (eds) Advances in Sustainable Manufacturing. Springer, Berlin, Heidelberg. </w:t>
      </w:r>
      <w:r w:rsidRPr="00833BA0">
        <w:rPr>
          <w:rFonts w:cstheme="minorHAnsi"/>
          <w:spacing w:val="4"/>
          <w:sz w:val="24"/>
          <w:szCs w:val="24"/>
          <w:shd w:val="clear" w:color="auto" w:fill="FCFCFC"/>
          <w:lang w:val="en-US"/>
        </w:rPr>
        <w:t xml:space="preserve">doi.org/10.1007/978-3-642-20183-7_2. </w:t>
      </w:r>
    </w:p>
    <w:p w14:paraId="2B88DD5F"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333333"/>
          <w:sz w:val="24"/>
          <w:szCs w:val="24"/>
          <w:shd w:val="clear" w:color="auto" w:fill="FFFFFF"/>
        </w:rPr>
      </w:pPr>
      <w:r w:rsidRPr="00833BA0">
        <w:rPr>
          <w:rFonts w:cstheme="minorHAnsi"/>
          <w:color w:val="333333"/>
          <w:sz w:val="24"/>
          <w:szCs w:val="24"/>
          <w:shd w:val="clear" w:color="auto" w:fill="FFFFFF"/>
          <w:lang w:val="en-US"/>
        </w:rPr>
        <w:t>Miller, D. P., (1993) "The Engineers: A History of the Engineering Profession in Britain, 1750-1914." </w:t>
      </w:r>
      <w:r w:rsidRPr="00833BA0">
        <w:rPr>
          <w:rFonts w:cstheme="minorHAnsi"/>
          <w:iCs/>
          <w:color w:val="333333"/>
          <w:sz w:val="24"/>
          <w:szCs w:val="24"/>
          <w:bdr w:val="none" w:sz="0" w:space="0" w:color="auto" w:frame="1"/>
          <w:shd w:val="clear" w:color="auto" w:fill="FFFFFF"/>
          <w:lang w:val="en-US"/>
        </w:rPr>
        <w:t>The English Historical Review</w:t>
      </w:r>
      <w:r w:rsidRPr="00833BA0">
        <w:rPr>
          <w:rFonts w:cstheme="minorHAnsi"/>
          <w:color w:val="333333"/>
          <w:sz w:val="24"/>
          <w:szCs w:val="24"/>
          <w:shd w:val="clear" w:color="auto" w:fill="FFFFFF"/>
          <w:lang w:val="en-US"/>
        </w:rPr>
        <w:t xml:space="preserve">, 108(427): 498 </w:t>
      </w:r>
    </w:p>
    <w:p w14:paraId="3CA1413B"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color w:val="202020"/>
          <w:sz w:val="24"/>
          <w:szCs w:val="24"/>
          <w:shd w:val="clear" w:color="auto" w:fill="FFFFFF"/>
          <w:lang w:val="en-US"/>
        </w:rPr>
      </w:pPr>
      <w:proofErr w:type="spellStart"/>
      <w:r w:rsidRPr="00833BA0">
        <w:rPr>
          <w:rFonts w:cstheme="minorHAnsi"/>
          <w:color w:val="222222"/>
          <w:sz w:val="24"/>
          <w:szCs w:val="24"/>
          <w:shd w:val="clear" w:color="auto" w:fill="FFFFFF"/>
        </w:rPr>
        <w:lastRenderedPageBreak/>
        <w:t>Mohanty</w:t>
      </w:r>
      <w:proofErr w:type="spellEnd"/>
      <w:r w:rsidRPr="00833BA0">
        <w:rPr>
          <w:rFonts w:cstheme="minorHAnsi"/>
          <w:color w:val="222222"/>
          <w:sz w:val="24"/>
          <w:szCs w:val="24"/>
          <w:shd w:val="clear" w:color="auto" w:fill="FFFFFF"/>
        </w:rPr>
        <w:t xml:space="preserve">, A., &amp; </w:t>
      </w:r>
      <w:proofErr w:type="spellStart"/>
      <w:r w:rsidRPr="00833BA0">
        <w:rPr>
          <w:rFonts w:cstheme="minorHAnsi"/>
          <w:color w:val="222222"/>
          <w:sz w:val="24"/>
          <w:szCs w:val="24"/>
          <w:shd w:val="clear" w:color="auto" w:fill="FFFFFF"/>
        </w:rPr>
        <w:t>Dash</w:t>
      </w:r>
      <w:proofErr w:type="spellEnd"/>
      <w:r w:rsidRPr="00833BA0">
        <w:rPr>
          <w:rFonts w:cstheme="minorHAnsi"/>
          <w:color w:val="222222"/>
          <w:sz w:val="24"/>
          <w:szCs w:val="24"/>
          <w:shd w:val="clear" w:color="auto" w:fill="FFFFFF"/>
        </w:rPr>
        <w:t xml:space="preserve">, D. (2016). </w:t>
      </w:r>
      <w:proofErr w:type="spellStart"/>
      <w:r w:rsidRPr="00833BA0">
        <w:rPr>
          <w:rFonts w:cstheme="minorHAnsi"/>
          <w:color w:val="222222"/>
          <w:sz w:val="24"/>
          <w:szCs w:val="24"/>
          <w:shd w:val="clear" w:color="auto" w:fill="FFFFFF"/>
        </w:rPr>
        <w:t>Engineering</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education</w:t>
      </w:r>
      <w:proofErr w:type="spellEnd"/>
      <w:r w:rsidRPr="00833BA0">
        <w:rPr>
          <w:rFonts w:cstheme="minorHAnsi"/>
          <w:color w:val="222222"/>
          <w:sz w:val="24"/>
          <w:szCs w:val="24"/>
          <w:shd w:val="clear" w:color="auto" w:fill="FFFFFF"/>
        </w:rPr>
        <w:t xml:space="preserve"> in </w:t>
      </w:r>
      <w:proofErr w:type="gramStart"/>
      <w:r w:rsidRPr="00833BA0">
        <w:rPr>
          <w:rFonts w:cstheme="minorHAnsi"/>
          <w:color w:val="222222"/>
          <w:sz w:val="24"/>
          <w:szCs w:val="24"/>
          <w:shd w:val="clear" w:color="auto" w:fill="FFFFFF"/>
        </w:rPr>
        <w:t>India</w:t>
      </w:r>
      <w:proofErr w:type="gram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Preparation</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of</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professional</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engineering</w:t>
      </w:r>
      <w:proofErr w:type="spellEnd"/>
      <w:r w:rsidRPr="00833BA0">
        <w:rPr>
          <w:rFonts w:cstheme="minorHAnsi"/>
          <w:color w:val="222222"/>
          <w:sz w:val="24"/>
          <w:szCs w:val="24"/>
          <w:shd w:val="clear" w:color="auto" w:fill="FFFFFF"/>
        </w:rPr>
        <w:t xml:space="preserve"> </w:t>
      </w:r>
      <w:proofErr w:type="spellStart"/>
      <w:r w:rsidRPr="00833BA0">
        <w:rPr>
          <w:rFonts w:cstheme="minorHAnsi"/>
          <w:color w:val="222222"/>
          <w:sz w:val="24"/>
          <w:szCs w:val="24"/>
          <w:shd w:val="clear" w:color="auto" w:fill="FFFFFF"/>
        </w:rPr>
        <w:t>educators</w:t>
      </w:r>
      <w:proofErr w:type="spellEnd"/>
      <w:r w:rsidRPr="00833BA0">
        <w:rPr>
          <w:rFonts w:cstheme="minorHAnsi"/>
          <w:color w:val="222222"/>
          <w:sz w:val="24"/>
          <w:szCs w:val="24"/>
          <w:shd w:val="clear" w:color="auto" w:fill="FFFFFF"/>
        </w:rPr>
        <w:t>. </w:t>
      </w:r>
      <w:proofErr w:type="spellStart"/>
      <w:r w:rsidRPr="00833BA0">
        <w:rPr>
          <w:rFonts w:cstheme="minorHAnsi"/>
          <w:iCs/>
          <w:color w:val="222222"/>
          <w:sz w:val="24"/>
          <w:szCs w:val="24"/>
          <w:shd w:val="clear" w:color="auto" w:fill="FFFFFF"/>
        </w:rPr>
        <w:t>Journal</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of</w:t>
      </w:r>
      <w:proofErr w:type="spellEnd"/>
      <w:r w:rsidRPr="00833BA0">
        <w:rPr>
          <w:rFonts w:cstheme="minorHAnsi"/>
          <w:iCs/>
          <w:color w:val="222222"/>
          <w:sz w:val="24"/>
          <w:szCs w:val="24"/>
          <w:shd w:val="clear" w:color="auto" w:fill="FFFFFF"/>
        </w:rPr>
        <w:t xml:space="preserve"> human </w:t>
      </w:r>
      <w:proofErr w:type="spellStart"/>
      <w:r w:rsidRPr="00833BA0">
        <w:rPr>
          <w:rFonts w:cstheme="minorHAnsi"/>
          <w:iCs/>
          <w:color w:val="222222"/>
          <w:sz w:val="24"/>
          <w:szCs w:val="24"/>
          <w:shd w:val="clear" w:color="auto" w:fill="FFFFFF"/>
        </w:rPr>
        <w:t>resource</w:t>
      </w:r>
      <w:proofErr w:type="spellEnd"/>
      <w:r w:rsidRPr="00833BA0">
        <w:rPr>
          <w:rFonts w:cstheme="minorHAnsi"/>
          <w:iCs/>
          <w:color w:val="222222"/>
          <w:sz w:val="24"/>
          <w:szCs w:val="24"/>
          <w:shd w:val="clear" w:color="auto" w:fill="FFFFFF"/>
        </w:rPr>
        <w:t xml:space="preserve"> and </w:t>
      </w:r>
      <w:proofErr w:type="spellStart"/>
      <w:r w:rsidRPr="00833BA0">
        <w:rPr>
          <w:rFonts w:cstheme="minorHAnsi"/>
          <w:iCs/>
          <w:color w:val="222222"/>
          <w:sz w:val="24"/>
          <w:szCs w:val="24"/>
          <w:shd w:val="clear" w:color="auto" w:fill="FFFFFF"/>
        </w:rPr>
        <w:t>sustainability</w:t>
      </w:r>
      <w:proofErr w:type="spellEnd"/>
      <w:r w:rsidRPr="00833BA0">
        <w:rPr>
          <w:rFonts w:cstheme="minorHAnsi"/>
          <w:iCs/>
          <w:color w:val="222222"/>
          <w:sz w:val="24"/>
          <w:szCs w:val="24"/>
          <w:shd w:val="clear" w:color="auto" w:fill="FFFFFF"/>
        </w:rPr>
        <w:t xml:space="preserve"> </w:t>
      </w:r>
      <w:proofErr w:type="spellStart"/>
      <w:r w:rsidRPr="00833BA0">
        <w:rPr>
          <w:rFonts w:cstheme="minorHAnsi"/>
          <w:iCs/>
          <w:color w:val="222222"/>
          <w:sz w:val="24"/>
          <w:szCs w:val="24"/>
          <w:shd w:val="clear" w:color="auto" w:fill="FFFFFF"/>
        </w:rPr>
        <w:t>studies</w:t>
      </w:r>
      <w:proofErr w:type="spellEnd"/>
      <w:r w:rsidRPr="00833BA0">
        <w:rPr>
          <w:rFonts w:cstheme="minorHAnsi"/>
          <w:color w:val="222222"/>
          <w:sz w:val="24"/>
          <w:szCs w:val="24"/>
          <w:shd w:val="clear" w:color="auto" w:fill="FFFFFF"/>
        </w:rPr>
        <w:t>, </w:t>
      </w:r>
      <w:r w:rsidRPr="00833BA0">
        <w:rPr>
          <w:rFonts w:cstheme="minorHAnsi"/>
          <w:iCs/>
          <w:color w:val="222222"/>
          <w:sz w:val="24"/>
          <w:szCs w:val="24"/>
          <w:shd w:val="clear" w:color="auto" w:fill="FFFFFF"/>
        </w:rPr>
        <w:t>4</w:t>
      </w:r>
      <w:r w:rsidRPr="00833BA0">
        <w:rPr>
          <w:rFonts w:cstheme="minorHAnsi"/>
          <w:color w:val="222222"/>
          <w:sz w:val="24"/>
          <w:szCs w:val="24"/>
          <w:shd w:val="clear" w:color="auto" w:fill="FFFFFF"/>
        </w:rPr>
        <w:t>(2), 92-101.</w:t>
      </w:r>
    </w:p>
    <w:p w14:paraId="1150455C"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r w:rsidRPr="00833BA0">
        <w:rPr>
          <w:rFonts w:cstheme="minorHAnsi"/>
          <w:color w:val="222222"/>
          <w:sz w:val="24"/>
          <w:szCs w:val="24"/>
          <w:shd w:val="clear" w:color="auto" w:fill="FFFFFF"/>
        </w:rPr>
        <w:t xml:space="preserve">Muñoz C. I., (2015). Metodología de la investigación. OXFORD. </w:t>
      </w:r>
      <w:r w:rsidRPr="00833BA0">
        <w:rPr>
          <w:rFonts w:cstheme="minorHAnsi"/>
          <w:sz w:val="24"/>
          <w:szCs w:val="24"/>
        </w:rPr>
        <w:t xml:space="preserve">Editorial Progreso S.A de C.V. México. D. F. </w:t>
      </w:r>
    </w:p>
    <w:p w14:paraId="4F81947E" w14:textId="77777777" w:rsidR="00833BA0" w:rsidRPr="00833BA0" w:rsidRDefault="00833BA0" w:rsidP="00833BA0">
      <w:pPr>
        <w:pStyle w:val="Prrafodelista"/>
        <w:numPr>
          <w:ilvl w:val="0"/>
          <w:numId w:val="11"/>
        </w:numPr>
        <w:autoSpaceDE w:val="0"/>
        <w:autoSpaceDN w:val="0"/>
        <w:adjustRightInd w:val="0"/>
        <w:spacing w:after="0" w:line="240" w:lineRule="auto"/>
        <w:jc w:val="both"/>
        <w:rPr>
          <w:rStyle w:val="Hipervnculo"/>
          <w:color w:val="000000" w:themeColor="text1"/>
        </w:rPr>
      </w:pPr>
      <w:proofErr w:type="spellStart"/>
      <w:r w:rsidRPr="00833BA0">
        <w:rPr>
          <w:rFonts w:cstheme="minorHAnsi"/>
          <w:color w:val="000000" w:themeColor="text1"/>
          <w:sz w:val="24"/>
          <w:szCs w:val="24"/>
          <w:shd w:val="clear" w:color="auto" w:fill="FFFFFF"/>
        </w:rPr>
        <w:t>Ortoll</w:t>
      </w:r>
      <w:proofErr w:type="spellEnd"/>
      <w:r w:rsidRPr="00833BA0">
        <w:rPr>
          <w:rFonts w:cstheme="minorHAnsi"/>
          <w:color w:val="000000" w:themeColor="text1"/>
          <w:sz w:val="24"/>
          <w:szCs w:val="24"/>
          <w:shd w:val="clear" w:color="auto" w:fill="FFFFFF"/>
        </w:rPr>
        <w:t xml:space="preserve">, E.; Canals, A.; </w:t>
      </w:r>
      <w:proofErr w:type="spellStart"/>
      <w:r w:rsidRPr="00833BA0">
        <w:rPr>
          <w:rFonts w:cstheme="minorHAnsi"/>
          <w:color w:val="000000" w:themeColor="text1"/>
          <w:sz w:val="24"/>
          <w:szCs w:val="24"/>
          <w:shd w:val="clear" w:color="auto" w:fill="FFFFFF"/>
        </w:rPr>
        <w:t>Garcia</w:t>
      </w:r>
      <w:proofErr w:type="spellEnd"/>
      <w:r w:rsidRPr="00833BA0">
        <w:rPr>
          <w:rFonts w:cstheme="minorHAnsi"/>
          <w:color w:val="000000" w:themeColor="text1"/>
          <w:sz w:val="24"/>
          <w:szCs w:val="24"/>
          <w:shd w:val="clear" w:color="auto" w:fill="FFFFFF"/>
        </w:rPr>
        <w:t xml:space="preserve">, M.; </w:t>
      </w:r>
      <w:proofErr w:type="spellStart"/>
      <w:r w:rsidRPr="00833BA0">
        <w:rPr>
          <w:rFonts w:cstheme="minorHAnsi"/>
          <w:color w:val="000000" w:themeColor="text1"/>
          <w:sz w:val="24"/>
          <w:szCs w:val="24"/>
          <w:shd w:val="clear" w:color="auto" w:fill="FFFFFF"/>
        </w:rPr>
        <w:t>Cobarsí</w:t>
      </w:r>
      <w:proofErr w:type="spellEnd"/>
      <w:r w:rsidRPr="00833BA0">
        <w:rPr>
          <w:rFonts w:cstheme="minorHAnsi"/>
          <w:color w:val="000000" w:themeColor="text1"/>
          <w:sz w:val="24"/>
          <w:szCs w:val="24"/>
          <w:shd w:val="clear" w:color="auto" w:fill="FFFFFF"/>
        </w:rPr>
        <w:t xml:space="preserve">, J. (2014). Principales parámetros para el estudio de la colaboración científica en </w:t>
      </w:r>
      <w:proofErr w:type="spellStart"/>
      <w:r w:rsidRPr="00833BA0">
        <w:rPr>
          <w:rFonts w:cstheme="minorHAnsi"/>
          <w:color w:val="000000" w:themeColor="text1"/>
          <w:sz w:val="24"/>
          <w:szCs w:val="24"/>
          <w:shd w:val="clear" w:color="auto" w:fill="FFFFFF"/>
        </w:rPr>
        <w:t>big</w:t>
      </w:r>
      <w:proofErr w:type="spellEnd"/>
      <w:r w:rsidRPr="00833BA0">
        <w:rPr>
          <w:rFonts w:cstheme="minorHAnsi"/>
          <w:color w:val="000000" w:themeColor="text1"/>
          <w:sz w:val="24"/>
          <w:szCs w:val="24"/>
          <w:shd w:val="clear" w:color="auto" w:fill="FFFFFF"/>
        </w:rPr>
        <w:t xml:space="preserve"> </w:t>
      </w:r>
      <w:proofErr w:type="spellStart"/>
      <w:r w:rsidRPr="00833BA0">
        <w:rPr>
          <w:rFonts w:cstheme="minorHAnsi"/>
          <w:color w:val="000000" w:themeColor="text1"/>
          <w:sz w:val="24"/>
          <w:szCs w:val="24"/>
          <w:shd w:val="clear" w:color="auto" w:fill="FFFFFF"/>
        </w:rPr>
        <w:t>science</w:t>
      </w:r>
      <w:proofErr w:type="spellEnd"/>
      <w:r w:rsidRPr="00833BA0">
        <w:rPr>
          <w:rFonts w:cstheme="minorHAnsi"/>
          <w:color w:val="000000" w:themeColor="text1"/>
          <w:sz w:val="24"/>
          <w:szCs w:val="24"/>
          <w:shd w:val="clear" w:color="auto" w:fill="FFFFFF"/>
        </w:rPr>
        <w:t xml:space="preserve">. Revista Española de Documentación Científica. </w:t>
      </w:r>
      <w:r w:rsidRPr="00833BA0">
        <w:rPr>
          <w:rFonts w:cstheme="minorHAnsi"/>
          <w:sz w:val="24"/>
          <w:szCs w:val="24"/>
          <w:shd w:val="clear" w:color="auto" w:fill="FFFFFF"/>
        </w:rPr>
        <w:t>doi.org/10.3989/redc.2014.4.1142.</w:t>
      </w:r>
    </w:p>
    <w:p w14:paraId="392A76D9" w14:textId="77777777" w:rsidR="00833BA0" w:rsidRPr="00833BA0" w:rsidRDefault="00833BA0" w:rsidP="00833BA0">
      <w:pPr>
        <w:pStyle w:val="Prrafodelista"/>
        <w:numPr>
          <w:ilvl w:val="0"/>
          <w:numId w:val="11"/>
        </w:numPr>
        <w:spacing w:after="0" w:line="240" w:lineRule="auto"/>
        <w:jc w:val="both"/>
        <w:rPr>
          <w:rFonts w:cstheme="minorHAnsi"/>
          <w:sz w:val="24"/>
          <w:szCs w:val="24"/>
          <w:lang w:val="en-US"/>
        </w:rPr>
      </w:pPr>
      <w:r w:rsidRPr="00833BA0">
        <w:rPr>
          <w:rFonts w:cstheme="minorHAnsi"/>
          <w:color w:val="222222"/>
          <w:sz w:val="24"/>
          <w:szCs w:val="24"/>
          <w:shd w:val="clear" w:color="auto" w:fill="FFFFFF"/>
        </w:rPr>
        <w:t>Suasnábar, C. (2013). La institucionalización de la educación como campo disciplinar: Un análisis desde la perspectiva de la historia social de las ciencias sociales. </w:t>
      </w:r>
      <w:proofErr w:type="spellStart"/>
      <w:r w:rsidRPr="00833BA0">
        <w:rPr>
          <w:rFonts w:cstheme="minorHAnsi"/>
          <w:iCs/>
          <w:color w:val="222222"/>
          <w:sz w:val="24"/>
          <w:szCs w:val="24"/>
          <w:shd w:val="clear" w:color="auto" w:fill="FFFFFF"/>
          <w:lang w:val="en-US"/>
        </w:rPr>
        <w:t>Revista</w:t>
      </w:r>
      <w:proofErr w:type="spellEnd"/>
      <w:r w:rsidRPr="00833BA0">
        <w:rPr>
          <w:rFonts w:cstheme="minorHAnsi"/>
          <w:iCs/>
          <w:color w:val="222222"/>
          <w:sz w:val="24"/>
          <w:szCs w:val="24"/>
          <w:shd w:val="clear" w:color="auto" w:fill="FFFFFF"/>
          <w:lang w:val="en-US"/>
        </w:rPr>
        <w:t xml:space="preserve"> </w:t>
      </w:r>
      <w:proofErr w:type="spellStart"/>
      <w:r w:rsidRPr="00833BA0">
        <w:rPr>
          <w:rFonts w:cstheme="minorHAnsi"/>
          <w:iCs/>
          <w:color w:val="222222"/>
          <w:sz w:val="24"/>
          <w:szCs w:val="24"/>
          <w:shd w:val="clear" w:color="auto" w:fill="FFFFFF"/>
          <w:lang w:val="en-US"/>
        </w:rPr>
        <w:t>mexicana</w:t>
      </w:r>
      <w:proofErr w:type="spellEnd"/>
      <w:r w:rsidRPr="00833BA0">
        <w:rPr>
          <w:rFonts w:cstheme="minorHAnsi"/>
          <w:iCs/>
          <w:color w:val="222222"/>
          <w:sz w:val="24"/>
          <w:szCs w:val="24"/>
          <w:shd w:val="clear" w:color="auto" w:fill="FFFFFF"/>
          <w:lang w:val="en-US"/>
        </w:rPr>
        <w:t xml:space="preserve"> de </w:t>
      </w:r>
      <w:proofErr w:type="spellStart"/>
      <w:r w:rsidRPr="00833BA0">
        <w:rPr>
          <w:rFonts w:cstheme="minorHAnsi"/>
          <w:iCs/>
          <w:color w:val="222222"/>
          <w:sz w:val="24"/>
          <w:szCs w:val="24"/>
          <w:shd w:val="clear" w:color="auto" w:fill="FFFFFF"/>
          <w:lang w:val="en-US"/>
        </w:rPr>
        <w:t>investigación</w:t>
      </w:r>
      <w:proofErr w:type="spellEnd"/>
      <w:r w:rsidRPr="00833BA0">
        <w:rPr>
          <w:rFonts w:cstheme="minorHAnsi"/>
          <w:iCs/>
          <w:color w:val="222222"/>
          <w:sz w:val="24"/>
          <w:szCs w:val="24"/>
          <w:shd w:val="clear" w:color="auto" w:fill="FFFFFF"/>
          <w:lang w:val="en-US"/>
        </w:rPr>
        <w:t xml:space="preserve"> </w:t>
      </w:r>
      <w:proofErr w:type="spellStart"/>
      <w:r w:rsidRPr="00833BA0">
        <w:rPr>
          <w:rFonts w:cstheme="minorHAnsi"/>
          <w:iCs/>
          <w:color w:val="222222"/>
          <w:sz w:val="24"/>
          <w:szCs w:val="24"/>
          <w:shd w:val="clear" w:color="auto" w:fill="FFFFFF"/>
          <w:lang w:val="en-US"/>
        </w:rPr>
        <w:t>educativa</w:t>
      </w:r>
      <w:proofErr w:type="spellEnd"/>
      <w:r w:rsidRPr="00833BA0">
        <w:rPr>
          <w:rFonts w:cstheme="minorHAnsi"/>
          <w:color w:val="222222"/>
          <w:sz w:val="24"/>
          <w:szCs w:val="24"/>
          <w:shd w:val="clear" w:color="auto" w:fill="FFFFFF"/>
          <w:lang w:val="en-US"/>
        </w:rPr>
        <w:t>, </w:t>
      </w:r>
      <w:r w:rsidRPr="00833BA0">
        <w:rPr>
          <w:rFonts w:cstheme="minorHAnsi"/>
          <w:iCs/>
          <w:color w:val="222222"/>
          <w:sz w:val="24"/>
          <w:szCs w:val="24"/>
          <w:shd w:val="clear" w:color="auto" w:fill="FFFFFF"/>
          <w:lang w:val="en-US"/>
        </w:rPr>
        <w:t>18</w:t>
      </w:r>
      <w:r w:rsidRPr="00833BA0">
        <w:rPr>
          <w:rFonts w:cstheme="minorHAnsi"/>
          <w:color w:val="222222"/>
          <w:sz w:val="24"/>
          <w:szCs w:val="24"/>
          <w:shd w:val="clear" w:color="auto" w:fill="FFFFFF"/>
          <w:lang w:val="en-US"/>
        </w:rPr>
        <w:t>(59), 1281-1304.</w:t>
      </w:r>
    </w:p>
    <w:p w14:paraId="2D1E2AD7" w14:textId="187CEB0F" w:rsidR="00833BA0" w:rsidRPr="00833BA0" w:rsidRDefault="00833BA0" w:rsidP="00833BA0">
      <w:pPr>
        <w:pStyle w:val="Prrafodelista"/>
        <w:numPr>
          <w:ilvl w:val="0"/>
          <w:numId w:val="11"/>
        </w:numPr>
        <w:spacing w:after="0" w:line="240" w:lineRule="auto"/>
        <w:jc w:val="both"/>
        <w:rPr>
          <w:rFonts w:cstheme="minorHAnsi"/>
          <w:noProof/>
          <w:sz w:val="24"/>
          <w:szCs w:val="24"/>
        </w:rPr>
      </w:pPr>
      <w:r w:rsidRPr="00B3068B">
        <w:rPr>
          <w:rFonts w:cstheme="minorHAnsi"/>
          <w:noProof/>
          <w:sz w:val="24"/>
          <w:szCs w:val="24"/>
          <w:lang w:val="en-US"/>
        </w:rPr>
        <w:t xml:space="preserve">Swain G.F. (1895). Addres by the President. Proceedings of the Third Annual Meeting. </w:t>
      </w:r>
      <w:r w:rsidRPr="00833BA0">
        <w:rPr>
          <w:rFonts w:cstheme="minorHAnsi"/>
          <w:noProof/>
          <w:sz w:val="24"/>
          <w:szCs w:val="24"/>
        </w:rPr>
        <w:t>Springfield, Mass. September, 2-</w:t>
      </w:r>
      <w:r w:rsidR="00BA1B95">
        <w:rPr>
          <w:rFonts w:cstheme="minorHAnsi"/>
          <w:noProof/>
          <w:sz w:val="24"/>
          <w:szCs w:val="24"/>
        </w:rPr>
        <w:t xml:space="preserve"> </w:t>
      </w:r>
      <w:r w:rsidRPr="00833BA0">
        <w:rPr>
          <w:rFonts w:cstheme="minorHAnsi"/>
          <w:noProof/>
          <w:sz w:val="24"/>
          <w:szCs w:val="24"/>
        </w:rPr>
        <w:t xml:space="preserve">4. Published by the Society. University of Michigan </w:t>
      </w:r>
    </w:p>
    <w:p w14:paraId="795E42EF" w14:textId="77777777" w:rsidR="00833BA0" w:rsidRPr="00833BA0" w:rsidRDefault="00833BA0" w:rsidP="00833BA0">
      <w:pPr>
        <w:pStyle w:val="Prrafodelista"/>
        <w:numPr>
          <w:ilvl w:val="0"/>
          <w:numId w:val="11"/>
        </w:numPr>
        <w:autoSpaceDE w:val="0"/>
        <w:autoSpaceDN w:val="0"/>
        <w:adjustRightInd w:val="0"/>
        <w:spacing w:after="0" w:line="240" w:lineRule="auto"/>
        <w:jc w:val="both"/>
        <w:rPr>
          <w:rFonts w:cstheme="minorHAnsi"/>
          <w:sz w:val="24"/>
          <w:szCs w:val="24"/>
        </w:rPr>
      </w:pPr>
      <w:r w:rsidRPr="00833BA0">
        <w:rPr>
          <w:rFonts w:cstheme="minorHAnsi"/>
          <w:sz w:val="24"/>
          <w:szCs w:val="24"/>
        </w:rPr>
        <w:t xml:space="preserve">Viales R. J., (2017). La intersección entre ambiente, ciencia, tecnología y sociedad. Aproximaciones teóricas para su estudio desde la perspectiva CTS.  San José, Costa Rica: Centro de Investigaciones Históricas de América Central </w:t>
      </w:r>
    </w:p>
    <w:p w14:paraId="303AB9F2" w14:textId="6FBBF397" w:rsidR="00833BA0" w:rsidRPr="00833BA0" w:rsidRDefault="00833BA0" w:rsidP="00833BA0">
      <w:pPr>
        <w:pStyle w:val="Prrafodelista"/>
        <w:numPr>
          <w:ilvl w:val="0"/>
          <w:numId w:val="11"/>
        </w:numPr>
        <w:spacing w:after="0" w:line="240" w:lineRule="auto"/>
        <w:jc w:val="both"/>
        <w:rPr>
          <w:rFonts w:cstheme="minorHAnsi"/>
          <w:sz w:val="24"/>
          <w:szCs w:val="24"/>
          <w:lang w:val="en-US"/>
        </w:rPr>
      </w:pPr>
      <w:r w:rsidRPr="00833BA0">
        <w:rPr>
          <w:rFonts w:cstheme="minorHAnsi"/>
          <w:color w:val="000000"/>
          <w:sz w:val="24"/>
          <w:szCs w:val="24"/>
          <w:shd w:val="clear" w:color="auto" w:fill="FFFFFF"/>
        </w:rPr>
        <w:t>Wenger, E. (2007). </w:t>
      </w:r>
      <w:proofErr w:type="spellStart"/>
      <w:r w:rsidRPr="00833BA0">
        <w:rPr>
          <w:rFonts w:cstheme="minorHAnsi"/>
          <w:iCs/>
          <w:color w:val="000000"/>
          <w:sz w:val="24"/>
          <w:szCs w:val="24"/>
          <w:shd w:val="clear" w:color="auto" w:fill="FFFFFF"/>
        </w:rPr>
        <w:t>All</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communities</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of</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practice</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need</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to</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find</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their</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spirit</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which</w:t>
      </w:r>
      <w:proofErr w:type="spellEnd"/>
      <w:r w:rsidRPr="00833BA0">
        <w:rPr>
          <w:rFonts w:cstheme="minorHAnsi"/>
          <w:iCs/>
          <w:color w:val="000000"/>
          <w:sz w:val="24"/>
          <w:szCs w:val="24"/>
          <w:shd w:val="clear" w:color="auto" w:fill="FFFFFF"/>
        </w:rPr>
        <w:t xml:space="preserve"> can be </w:t>
      </w:r>
      <w:proofErr w:type="spellStart"/>
      <w:r w:rsidRPr="00833BA0">
        <w:rPr>
          <w:rFonts w:cstheme="minorHAnsi"/>
          <w:iCs/>
          <w:color w:val="000000"/>
          <w:sz w:val="24"/>
          <w:szCs w:val="24"/>
          <w:shd w:val="clear" w:color="auto" w:fill="FFFFFF"/>
        </w:rPr>
        <w:t>called</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their</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learning</w:t>
      </w:r>
      <w:proofErr w:type="spellEnd"/>
      <w:r w:rsidRPr="00833BA0">
        <w:rPr>
          <w:rFonts w:cstheme="minorHAnsi"/>
          <w:iCs/>
          <w:color w:val="000000"/>
          <w:sz w:val="24"/>
          <w:szCs w:val="24"/>
          <w:shd w:val="clear" w:color="auto" w:fill="FFFFFF"/>
        </w:rPr>
        <w:t xml:space="preserve"> </w:t>
      </w:r>
      <w:proofErr w:type="spellStart"/>
      <w:r w:rsidRPr="00833BA0">
        <w:rPr>
          <w:rFonts w:cstheme="minorHAnsi"/>
          <w:iCs/>
          <w:color w:val="000000"/>
          <w:sz w:val="24"/>
          <w:szCs w:val="24"/>
          <w:shd w:val="clear" w:color="auto" w:fill="FFFFFF"/>
        </w:rPr>
        <w:t>companionship</w:t>
      </w:r>
      <w:proofErr w:type="spellEnd"/>
      <w:r w:rsidRPr="00833BA0">
        <w:rPr>
          <w:rFonts w:cstheme="minorHAnsi"/>
          <w:color w:val="000000"/>
          <w:sz w:val="24"/>
          <w:szCs w:val="24"/>
          <w:shd w:val="clear" w:color="auto" w:fill="FFFFFF"/>
        </w:rPr>
        <w:t xml:space="preserve">. </w:t>
      </w:r>
      <w:r w:rsidRPr="00B3068B">
        <w:rPr>
          <w:rFonts w:cstheme="minorHAnsi"/>
          <w:color w:val="000000"/>
          <w:sz w:val="24"/>
          <w:szCs w:val="24"/>
          <w:shd w:val="clear" w:color="auto" w:fill="FFFFFF"/>
          <w:lang w:val="pt-BR"/>
        </w:rPr>
        <w:t xml:space="preserve">EU </w:t>
      </w:r>
      <w:proofErr w:type="spellStart"/>
      <w:r w:rsidRPr="00B3068B">
        <w:rPr>
          <w:rFonts w:cstheme="minorHAnsi"/>
          <w:color w:val="000000"/>
          <w:sz w:val="24"/>
          <w:szCs w:val="24"/>
          <w:shd w:val="clear" w:color="auto" w:fill="FFFFFF"/>
          <w:lang w:val="pt-BR"/>
        </w:rPr>
        <w:t>Conference</w:t>
      </w:r>
      <w:proofErr w:type="spellEnd"/>
      <w:r w:rsidRPr="00B3068B">
        <w:rPr>
          <w:rFonts w:cstheme="minorHAnsi"/>
          <w:color w:val="000000"/>
          <w:sz w:val="24"/>
          <w:szCs w:val="24"/>
          <w:shd w:val="clear" w:color="auto" w:fill="FFFFFF"/>
          <w:lang w:val="pt-BR"/>
        </w:rPr>
        <w:t xml:space="preserve"> "</w:t>
      </w:r>
      <w:proofErr w:type="spellStart"/>
      <w:r w:rsidRPr="00B3068B">
        <w:rPr>
          <w:rFonts w:cstheme="minorHAnsi"/>
          <w:color w:val="000000"/>
          <w:sz w:val="24"/>
          <w:szCs w:val="24"/>
          <w:shd w:val="clear" w:color="auto" w:fill="FFFFFF"/>
          <w:lang w:val="pt-BR"/>
        </w:rPr>
        <w:t>eLearning</w:t>
      </w:r>
      <w:proofErr w:type="spellEnd"/>
      <w:r w:rsidRPr="00B3068B">
        <w:rPr>
          <w:rFonts w:cstheme="minorHAnsi"/>
          <w:color w:val="000000"/>
          <w:sz w:val="24"/>
          <w:szCs w:val="24"/>
          <w:shd w:val="clear" w:color="auto" w:fill="FFFFFF"/>
          <w:lang w:val="pt-BR"/>
        </w:rPr>
        <w:t xml:space="preserve"> Lisboa 2007". Recuperado </w:t>
      </w:r>
      <w:r w:rsidRPr="00B3068B">
        <w:rPr>
          <w:rFonts w:cstheme="minorHAnsi"/>
          <w:color w:val="000000"/>
          <w:sz w:val="20"/>
          <w:szCs w:val="24"/>
          <w:shd w:val="clear" w:color="auto" w:fill="FFFFFF"/>
          <w:lang w:val="pt-BR"/>
        </w:rPr>
        <w:t>de </w:t>
      </w:r>
      <w:hyperlink r:id="rId15" w:tgtFrame="_blank" w:history="1">
        <w:r w:rsidRPr="00B3068B">
          <w:rPr>
            <w:rStyle w:val="Hipervnculo"/>
            <w:rFonts w:cstheme="minorHAnsi"/>
            <w:sz w:val="20"/>
            <w:szCs w:val="24"/>
            <w:shd w:val="clear" w:color="auto" w:fill="FFFFFF"/>
            <w:lang w:val="pt-BR"/>
          </w:rPr>
          <w:t>http://www.elearningeuropa.info/directory/?page=doc&amp;doc_id=10476&amp;doclng=6</w:t>
        </w:r>
      </w:hyperlink>
      <w:r w:rsidRPr="00B3068B">
        <w:rPr>
          <w:rStyle w:val="Hipervnculo"/>
          <w:rFonts w:cstheme="minorHAnsi"/>
          <w:sz w:val="20"/>
          <w:szCs w:val="24"/>
          <w:shd w:val="clear" w:color="auto" w:fill="FFFFFF"/>
          <w:lang w:val="pt-BR"/>
        </w:rPr>
        <w:t>.</w:t>
      </w:r>
      <w:r w:rsidRPr="00B3068B">
        <w:rPr>
          <w:rFonts w:cstheme="minorHAnsi"/>
          <w:color w:val="000000"/>
          <w:sz w:val="24"/>
          <w:szCs w:val="24"/>
          <w:shd w:val="clear" w:color="auto" w:fill="FFFFFF"/>
          <w:lang w:val="pt-BR"/>
        </w:rPr>
        <w:t xml:space="preserve"> </w:t>
      </w:r>
      <w:r w:rsidRPr="00833BA0">
        <w:rPr>
          <w:rFonts w:cstheme="minorHAnsi"/>
          <w:color w:val="000000"/>
          <w:sz w:val="24"/>
          <w:szCs w:val="24"/>
          <w:shd w:val="clear" w:color="auto" w:fill="FFFFFF"/>
        </w:rPr>
        <w:t>Consultado 14 de noviembre de 2021.   </w:t>
      </w:r>
    </w:p>
    <w:p w14:paraId="14FAE0C4" w14:textId="77777777" w:rsidR="00833BA0" w:rsidRDefault="00833BA0" w:rsidP="00833BA0">
      <w:pPr>
        <w:pStyle w:val="Prrafodelista"/>
        <w:spacing w:after="0" w:line="240" w:lineRule="auto"/>
        <w:ind w:left="426"/>
        <w:jc w:val="both"/>
        <w:rPr>
          <w:rFonts w:cstheme="minorHAnsi"/>
          <w:sz w:val="24"/>
          <w:szCs w:val="24"/>
          <w:lang w:val="en-US"/>
        </w:rPr>
      </w:pPr>
    </w:p>
    <w:p w14:paraId="168C334B" w14:textId="77777777" w:rsidR="002A58AB" w:rsidRDefault="002A58AB" w:rsidP="002A58AB">
      <w:pPr>
        <w:pStyle w:val="Prrafodelista"/>
        <w:spacing w:after="0" w:line="240" w:lineRule="auto"/>
        <w:ind w:left="426" w:hanging="426"/>
        <w:jc w:val="both"/>
        <w:rPr>
          <w:rFonts w:cstheme="minorHAnsi"/>
          <w:sz w:val="24"/>
          <w:szCs w:val="24"/>
          <w:lang w:val="en-US"/>
        </w:rPr>
      </w:pPr>
    </w:p>
    <w:p w14:paraId="6A4EAA18" w14:textId="66E04E8E" w:rsidR="002A58AB" w:rsidRDefault="002A58AB" w:rsidP="004F3E94">
      <w:pPr>
        <w:spacing w:after="0" w:line="240" w:lineRule="auto"/>
        <w:rPr>
          <w:rFonts w:cstheme="minorHAnsi"/>
          <w:noProof/>
          <w:sz w:val="24"/>
          <w:szCs w:val="24"/>
        </w:rPr>
      </w:pPr>
    </w:p>
    <w:sectPr w:rsidR="002A58AB" w:rsidSect="00B3522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F2E3" w14:textId="77777777" w:rsidR="000B1B3A" w:rsidRDefault="000B1B3A" w:rsidP="00304821">
      <w:pPr>
        <w:spacing w:after="0" w:line="240" w:lineRule="auto"/>
      </w:pPr>
      <w:r>
        <w:separator/>
      </w:r>
    </w:p>
  </w:endnote>
  <w:endnote w:type="continuationSeparator" w:id="0">
    <w:p w14:paraId="1634F514" w14:textId="77777777" w:rsidR="000B1B3A" w:rsidRDefault="000B1B3A" w:rsidP="0030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Cuerpo en alf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65F3" w14:textId="77777777" w:rsidR="000B1B3A" w:rsidRDefault="000B1B3A" w:rsidP="00304821">
      <w:pPr>
        <w:spacing w:after="0" w:line="240" w:lineRule="auto"/>
      </w:pPr>
      <w:r>
        <w:separator/>
      </w:r>
    </w:p>
  </w:footnote>
  <w:footnote w:type="continuationSeparator" w:id="0">
    <w:p w14:paraId="788FBD56" w14:textId="77777777" w:rsidR="000B1B3A" w:rsidRDefault="000B1B3A" w:rsidP="00304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401"/>
    <w:multiLevelType w:val="hybridMultilevel"/>
    <w:tmpl w:val="614AD832"/>
    <w:lvl w:ilvl="0" w:tplc="D2B0540A">
      <w:numFmt w:val="bullet"/>
      <w:lvlText w:val=""/>
      <w:lvlJc w:val="left"/>
      <w:pPr>
        <w:ind w:left="720" w:hanging="360"/>
      </w:pPr>
      <w:rPr>
        <w:rFonts w:ascii="Symbol" w:eastAsiaTheme="minorHAnsi" w:hAnsi="Symbol" w:cs="Microsoft New Tai Lu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582CFD"/>
    <w:multiLevelType w:val="multilevel"/>
    <w:tmpl w:val="5EE8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598F"/>
    <w:multiLevelType w:val="hybridMultilevel"/>
    <w:tmpl w:val="31F60A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B67823"/>
    <w:multiLevelType w:val="hybridMultilevel"/>
    <w:tmpl w:val="427ACAAA"/>
    <w:lvl w:ilvl="0" w:tplc="347CD5B6">
      <w:numFmt w:val="bullet"/>
      <w:lvlText w:val=""/>
      <w:lvlJc w:val="left"/>
      <w:pPr>
        <w:ind w:left="720" w:hanging="360"/>
      </w:pPr>
      <w:rPr>
        <w:rFonts w:ascii="Symbol" w:eastAsiaTheme="minorHAnsi" w:hAnsi="Symbol" w:cs="Microsoft New Tai Lu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241099"/>
    <w:multiLevelType w:val="multilevel"/>
    <w:tmpl w:val="BD32C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163B80"/>
    <w:multiLevelType w:val="hybridMultilevel"/>
    <w:tmpl w:val="E938B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FB0267"/>
    <w:multiLevelType w:val="hybridMultilevel"/>
    <w:tmpl w:val="BE06A0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2314F7D"/>
    <w:multiLevelType w:val="hybridMultilevel"/>
    <w:tmpl w:val="64769A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C112FA"/>
    <w:multiLevelType w:val="multilevel"/>
    <w:tmpl w:val="7018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BC2095"/>
    <w:multiLevelType w:val="hybridMultilevel"/>
    <w:tmpl w:val="3A66AF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0"/>
  </w:num>
  <w:num w:numId="5">
    <w:abstractNumId w:val="3"/>
  </w:num>
  <w:num w:numId="6">
    <w:abstractNumId w:val="5"/>
  </w:num>
  <w:num w:numId="7">
    <w:abstractNumId w:val="9"/>
  </w:num>
  <w:num w:numId="8">
    <w:abstractNumId w:val="7"/>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51"/>
    <w:rsid w:val="000014AD"/>
    <w:rsid w:val="0000519D"/>
    <w:rsid w:val="00006024"/>
    <w:rsid w:val="0000720F"/>
    <w:rsid w:val="0001372E"/>
    <w:rsid w:val="00013F38"/>
    <w:rsid w:val="000144A2"/>
    <w:rsid w:val="000245D7"/>
    <w:rsid w:val="00026AE3"/>
    <w:rsid w:val="00033B59"/>
    <w:rsid w:val="00034FC9"/>
    <w:rsid w:val="0004124D"/>
    <w:rsid w:val="000413E0"/>
    <w:rsid w:val="00042CD1"/>
    <w:rsid w:val="00045171"/>
    <w:rsid w:val="0004770A"/>
    <w:rsid w:val="0005430D"/>
    <w:rsid w:val="000559BE"/>
    <w:rsid w:val="00055F41"/>
    <w:rsid w:val="00065227"/>
    <w:rsid w:val="00066E1A"/>
    <w:rsid w:val="0006707B"/>
    <w:rsid w:val="00067F41"/>
    <w:rsid w:val="000701F8"/>
    <w:rsid w:val="00081610"/>
    <w:rsid w:val="00082B8E"/>
    <w:rsid w:val="000862CE"/>
    <w:rsid w:val="00091F7D"/>
    <w:rsid w:val="00093A94"/>
    <w:rsid w:val="000950F1"/>
    <w:rsid w:val="00096C04"/>
    <w:rsid w:val="000A29FC"/>
    <w:rsid w:val="000A5ED0"/>
    <w:rsid w:val="000A608F"/>
    <w:rsid w:val="000B197B"/>
    <w:rsid w:val="000B1A71"/>
    <w:rsid w:val="000B1B3A"/>
    <w:rsid w:val="000B66A7"/>
    <w:rsid w:val="000C17C4"/>
    <w:rsid w:val="000C1CCA"/>
    <w:rsid w:val="000C35B7"/>
    <w:rsid w:val="000C3EC6"/>
    <w:rsid w:val="000C600F"/>
    <w:rsid w:val="000D0814"/>
    <w:rsid w:val="000D1A70"/>
    <w:rsid w:val="000E0152"/>
    <w:rsid w:val="000E2D07"/>
    <w:rsid w:val="000E42B9"/>
    <w:rsid w:val="000F1E9D"/>
    <w:rsid w:val="000F5C0B"/>
    <w:rsid w:val="000F5FCB"/>
    <w:rsid w:val="00104F9C"/>
    <w:rsid w:val="0010671A"/>
    <w:rsid w:val="001114E7"/>
    <w:rsid w:val="00112CE8"/>
    <w:rsid w:val="00123401"/>
    <w:rsid w:val="001242BF"/>
    <w:rsid w:val="00125691"/>
    <w:rsid w:val="00127ADA"/>
    <w:rsid w:val="001318B6"/>
    <w:rsid w:val="00131F45"/>
    <w:rsid w:val="00133C72"/>
    <w:rsid w:val="00134581"/>
    <w:rsid w:val="001411AE"/>
    <w:rsid w:val="0014287F"/>
    <w:rsid w:val="00147A97"/>
    <w:rsid w:val="00147E11"/>
    <w:rsid w:val="00155D9F"/>
    <w:rsid w:val="00163EA4"/>
    <w:rsid w:val="00165798"/>
    <w:rsid w:val="0016651A"/>
    <w:rsid w:val="00167C27"/>
    <w:rsid w:val="00170724"/>
    <w:rsid w:val="00175C1C"/>
    <w:rsid w:val="00177616"/>
    <w:rsid w:val="00177F2B"/>
    <w:rsid w:val="00182225"/>
    <w:rsid w:val="001830B9"/>
    <w:rsid w:val="00183857"/>
    <w:rsid w:val="0018476D"/>
    <w:rsid w:val="00186CDA"/>
    <w:rsid w:val="00187D7B"/>
    <w:rsid w:val="00190EEC"/>
    <w:rsid w:val="00191EC2"/>
    <w:rsid w:val="00193995"/>
    <w:rsid w:val="00193ECB"/>
    <w:rsid w:val="00196A43"/>
    <w:rsid w:val="001B3C20"/>
    <w:rsid w:val="001C14CB"/>
    <w:rsid w:val="001C258F"/>
    <w:rsid w:val="001C45F3"/>
    <w:rsid w:val="001C618F"/>
    <w:rsid w:val="001C7011"/>
    <w:rsid w:val="001D1B65"/>
    <w:rsid w:val="001D3546"/>
    <w:rsid w:val="001D61D0"/>
    <w:rsid w:val="001E1CF7"/>
    <w:rsid w:val="001E227F"/>
    <w:rsid w:val="001E2768"/>
    <w:rsid w:val="001E2F9B"/>
    <w:rsid w:val="001E33E2"/>
    <w:rsid w:val="001E4DDA"/>
    <w:rsid w:val="001E61AC"/>
    <w:rsid w:val="001E6B37"/>
    <w:rsid w:val="001E7068"/>
    <w:rsid w:val="001E7D51"/>
    <w:rsid w:val="001F3425"/>
    <w:rsid w:val="001F4037"/>
    <w:rsid w:val="001F4C42"/>
    <w:rsid w:val="001F7089"/>
    <w:rsid w:val="002012BC"/>
    <w:rsid w:val="0020362F"/>
    <w:rsid w:val="00204580"/>
    <w:rsid w:val="0020575C"/>
    <w:rsid w:val="002071F0"/>
    <w:rsid w:val="00210F01"/>
    <w:rsid w:val="00216397"/>
    <w:rsid w:val="00216578"/>
    <w:rsid w:val="00216ECC"/>
    <w:rsid w:val="002230D7"/>
    <w:rsid w:val="00223122"/>
    <w:rsid w:val="00223D86"/>
    <w:rsid w:val="00224AE9"/>
    <w:rsid w:val="00227E3B"/>
    <w:rsid w:val="0023004C"/>
    <w:rsid w:val="00234E8B"/>
    <w:rsid w:val="002416C8"/>
    <w:rsid w:val="00241ACB"/>
    <w:rsid w:val="00244272"/>
    <w:rsid w:val="002478A3"/>
    <w:rsid w:val="00251B50"/>
    <w:rsid w:val="00253B25"/>
    <w:rsid w:val="00256EF3"/>
    <w:rsid w:val="00262E82"/>
    <w:rsid w:val="002709DB"/>
    <w:rsid w:val="00273D8C"/>
    <w:rsid w:val="00274842"/>
    <w:rsid w:val="00275993"/>
    <w:rsid w:val="00280120"/>
    <w:rsid w:val="00280F85"/>
    <w:rsid w:val="0028104A"/>
    <w:rsid w:val="002902FA"/>
    <w:rsid w:val="002910F6"/>
    <w:rsid w:val="00291F9B"/>
    <w:rsid w:val="00293181"/>
    <w:rsid w:val="00293B65"/>
    <w:rsid w:val="00295CBE"/>
    <w:rsid w:val="00295EF4"/>
    <w:rsid w:val="00295F8F"/>
    <w:rsid w:val="002A095D"/>
    <w:rsid w:val="002A1F46"/>
    <w:rsid w:val="002A2698"/>
    <w:rsid w:val="002A58AB"/>
    <w:rsid w:val="002A605C"/>
    <w:rsid w:val="002A6585"/>
    <w:rsid w:val="002B1411"/>
    <w:rsid w:val="002C0F72"/>
    <w:rsid w:val="002C1293"/>
    <w:rsid w:val="002C21B7"/>
    <w:rsid w:val="002C3306"/>
    <w:rsid w:val="002C5991"/>
    <w:rsid w:val="002D03A2"/>
    <w:rsid w:val="002D0EAA"/>
    <w:rsid w:val="002D6002"/>
    <w:rsid w:val="002E3623"/>
    <w:rsid w:val="002E6AFC"/>
    <w:rsid w:val="002F22B8"/>
    <w:rsid w:val="002F2762"/>
    <w:rsid w:val="002F375A"/>
    <w:rsid w:val="002F63DB"/>
    <w:rsid w:val="002F7048"/>
    <w:rsid w:val="002F7EE1"/>
    <w:rsid w:val="0030232C"/>
    <w:rsid w:val="00303D28"/>
    <w:rsid w:val="00304821"/>
    <w:rsid w:val="00312A0B"/>
    <w:rsid w:val="00313AAD"/>
    <w:rsid w:val="00313E4B"/>
    <w:rsid w:val="003150F3"/>
    <w:rsid w:val="0031648C"/>
    <w:rsid w:val="0032082D"/>
    <w:rsid w:val="00320886"/>
    <w:rsid w:val="00320CBB"/>
    <w:rsid w:val="00321C01"/>
    <w:rsid w:val="00324843"/>
    <w:rsid w:val="00327BE8"/>
    <w:rsid w:val="003343B6"/>
    <w:rsid w:val="00335059"/>
    <w:rsid w:val="00337206"/>
    <w:rsid w:val="00344454"/>
    <w:rsid w:val="003446CF"/>
    <w:rsid w:val="00345F21"/>
    <w:rsid w:val="00345F22"/>
    <w:rsid w:val="00347FD2"/>
    <w:rsid w:val="00350E8E"/>
    <w:rsid w:val="00354E59"/>
    <w:rsid w:val="003562BA"/>
    <w:rsid w:val="00356A7F"/>
    <w:rsid w:val="00356B1B"/>
    <w:rsid w:val="003603A5"/>
    <w:rsid w:val="00360F5E"/>
    <w:rsid w:val="003612B1"/>
    <w:rsid w:val="00362700"/>
    <w:rsid w:val="00364410"/>
    <w:rsid w:val="00365BDC"/>
    <w:rsid w:val="003716E9"/>
    <w:rsid w:val="00372948"/>
    <w:rsid w:val="00376196"/>
    <w:rsid w:val="003766BF"/>
    <w:rsid w:val="003814D4"/>
    <w:rsid w:val="003839CA"/>
    <w:rsid w:val="003840A1"/>
    <w:rsid w:val="00384844"/>
    <w:rsid w:val="00392C21"/>
    <w:rsid w:val="003965E7"/>
    <w:rsid w:val="00396AE3"/>
    <w:rsid w:val="0039776A"/>
    <w:rsid w:val="003A0422"/>
    <w:rsid w:val="003A2CF8"/>
    <w:rsid w:val="003A6827"/>
    <w:rsid w:val="003A7C1C"/>
    <w:rsid w:val="003B19E3"/>
    <w:rsid w:val="003B72B3"/>
    <w:rsid w:val="003C0B55"/>
    <w:rsid w:val="003C5DFD"/>
    <w:rsid w:val="003D0187"/>
    <w:rsid w:val="003D2812"/>
    <w:rsid w:val="003D5B4B"/>
    <w:rsid w:val="003D61B1"/>
    <w:rsid w:val="003D65D7"/>
    <w:rsid w:val="003D6C08"/>
    <w:rsid w:val="003E1C87"/>
    <w:rsid w:val="003E2BF1"/>
    <w:rsid w:val="003E7D7A"/>
    <w:rsid w:val="003F7F4D"/>
    <w:rsid w:val="004006D3"/>
    <w:rsid w:val="00401AC7"/>
    <w:rsid w:val="004035FE"/>
    <w:rsid w:val="0040472E"/>
    <w:rsid w:val="004052DA"/>
    <w:rsid w:val="004057CC"/>
    <w:rsid w:val="004073B5"/>
    <w:rsid w:val="0041389F"/>
    <w:rsid w:val="00413FAE"/>
    <w:rsid w:val="00415D0A"/>
    <w:rsid w:val="0042056D"/>
    <w:rsid w:val="00424048"/>
    <w:rsid w:val="004259CA"/>
    <w:rsid w:val="00425A1B"/>
    <w:rsid w:val="00426640"/>
    <w:rsid w:val="004331D3"/>
    <w:rsid w:val="004334FA"/>
    <w:rsid w:val="00442033"/>
    <w:rsid w:val="004437E7"/>
    <w:rsid w:val="00444584"/>
    <w:rsid w:val="00445962"/>
    <w:rsid w:val="004533F6"/>
    <w:rsid w:val="00456B7E"/>
    <w:rsid w:val="00456D07"/>
    <w:rsid w:val="00456F9D"/>
    <w:rsid w:val="00460256"/>
    <w:rsid w:val="00474437"/>
    <w:rsid w:val="00475BDC"/>
    <w:rsid w:val="004760B1"/>
    <w:rsid w:val="0047768D"/>
    <w:rsid w:val="0048287E"/>
    <w:rsid w:val="004837D3"/>
    <w:rsid w:val="004851EF"/>
    <w:rsid w:val="0048534E"/>
    <w:rsid w:val="00486C28"/>
    <w:rsid w:val="0049181B"/>
    <w:rsid w:val="004935BA"/>
    <w:rsid w:val="004A1271"/>
    <w:rsid w:val="004A2B83"/>
    <w:rsid w:val="004A489D"/>
    <w:rsid w:val="004B0032"/>
    <w:rsid w:val="004B0E57"/>
    <w:rsid w:val="004B11F2"/>
    <w:rsid w:val="004C4B65"/>
    <w:rsid w:val="004C4FF0"/>
    <w:rsid w:val="004D00A0"/>
    <w:rsid w:val="004D0A12"/>
    <w:rsid w:val="004D14C4"/>
    <w:rsid w:val="004D189A"/>
    <w:rsid w:val="004D52F8"/>
    <w:rsid w:val="004D5989"/>
    <w:rsid w:val="004D76A5"/>
    <w:rsid w:val="004E3A23"/>
    <w:rsid w:val="004F054F"/>
    <w:rsid w:val="004F1325"/>
    <w:rsid w:val="004F3E94"/>
    <w:rsid w:val="004F6FD8"/>
    <w:rsid w:val="00502969"/>
    <w:rsid w:val="005055DE"/>
    <w:rsid w:val="0050699B"/>
    <w:rsid w:val="00513F7F"/>
    <w:rsid w:val="005143FA"/>
    <w:rsid w:val="00516B9F"/>
    <w:rsid w:val="00521A62"/>
    <w:rsid w:val="00523DF8"/>
    <w:rsid w:val="005250B4"/>
    <w:rsid w:val="00532C53"/>
    <w:rsid w:val="005402EF"/>
    <w:rsid w:val="00541A0E"/>
    <w:rsid w:val="00541D6E"/>
    <w:rsid w:val="00544BFB"/>
    <w:rsid w:val="00553304"/>
    <w:rsid w:val="00553670"/>
    <w:rsid w:val="0055478B"/>
    <w:rsid w:val="00556C54"/>
    <w:rsid w:val="00557BC0"/>
    <w:rsid w:val="0056271D"/>
    <w:rsid w:val="00566BCF"/>
    <w:rsid w:val="00566D6B"/>
    <w:rsid w:val="00575AB6"/>
    <w:rsid w:val="00577E8B"/>
    <w:rsid w:val="00580374"/>
    <w:rsid w:val="00583480"/>
    <w:rsid w:val="00583FC8"/>
    <w:rsid w:val="00586846"/>
    <w:rsid w:val="00587B54"/>
    <w:rsid w:val="00591C43"/>
    <w:rsid w:val="005A09D8"/>
    <w:rsid w:val="005A241E"/>
    <w:rsid w:val="005A3A7C"/>
    <w:rsid w:val="005B1774"/>
    <w:rsid w:val="005B26A0"/>
    <w:rsid w:val="005B4BDE"/>
    <w:rsid w:val="005C06BF"/>
    <w:rsid w:val="005C2A4C"/>
    <w:rsid w:val="005D132D"/>
    <w:rsid w:val="005D5C3B"/>
    <w:rsid w:val="005D777B"/>
    <w:rsid w:val="005E0D1C"/>
    <w:rsid w:val="005E12DE"/>
    <w:rsid w:val="005E1488"/>
    <w:rsid w:val="005E334B"/>
    <w:rsid w:val="005E453E"/>
    <w:rsid w:val="005E5A93"/>
    <w:rsid w:val="005E684E"/>
    <w:rsid w:val="005F20D0"/>
    <w:rsid w:val="005F2ACD"/>
    <w:rsid w:val="005F65B5"/>
    <w:rsid w:val="0060186A"/>
    <w:rsid w:val="006020C8"/>
    <w:rsid w:val="00610F25"/>
    <w:rsid w:val="00612EFC"/>
    <w:rsid w:val="006141B0"/>
    <w:rsid w:val="0062475C"/>
    <w:rsid w:val="00633448"/>
    <w:rsid w:val="006342F1"/>
    <w:rsid w:val="0064403A"/>
    <w:rsid w:val="00644778"/>
    <w:rsid w:val="006464DE"/>
    <w:rsid w:val="00646B6D"/>
    <w:rsid w:val="006478E0"/>
    <w:rsid w:val="00651EBE"/>
    <w:rsid w:val="00665446"/>
    <w:rsid w:val="006660A6"/>
    <w:rsid w:val="00666BC6"/>
    <w:rsid w:val="006734A1"/>
    <w:rsid w:val="0067471A"/>
    <w:rsid w:val="00675F92"/>
    <w:rsid w:val="0067647A"/>
    <w:rsid w:val="00676805"/>
    <w:rsid w:val="00693D92"/>
    <w:rsid w:val="006A0A3C"/>
    <w:rsid w:val="006A18B3"/>
    <w:rsid w:val="006A1F3B"/>
    <w:rsid w:val="006A2897"/>
    <w:rsid w:val="006A480B"/>
    <w:rsid w:val="006A74B7"/>
    <w:rsid w:val="006B487C"/>
    <w:rsid w:val="006B4FD1"/>
    <w:rsid w:val="006C05E6"/>
    <w:rsid w:val="006C1CB8"/>
    <w:rsid w:val="006C2132"/>
    <w:rsid w:val="006C3849"/>
    <w:rsid w:val="006C3F17"/>
    <w:rsid w:val="006C4496"/>
    <w:rsid w:val="006C4F1B"/>
    <w:rsid w:val="006C56FB"/>
    <w:rsid w:val="006C64B1"/>
    <w:rsid w:val="006C7FF4"/>
    <w:rsid w:val="006D1001"/>
    <w:rsid w:val="006D29B8"/>
    <w:rsid w:val="006D5342"/>
    <w:rsid w:val="006D592A"/>
    <w:rsid w:val="006E19E3"/>
    <w:rsid w:val="006E42A7"/>
    <w:rsid w:val="006E5316"/>
    <w:rsid w:val="006E568E"/>
    <w:rsid w:val="006E76AD"/>
    <w:rsid w:val="006F36CF"/>
    <w:rsid w:val="006F4A51"/>
    <w:rsid w:val="006F5917"/>
    <w:rsid w:val="006F5ECC"/>
    <w:rsid w:val="006F71F3"/>
    <w:rsid w:val="006F7EFE"/>
    <w:rsid w:val="007027AC"/>
    <w:rsid w:val="007029D1"/>
    <w:rsid w:val="00706E5C"/>
    <w:rsid w:val="007104F9"/>
    <w:rsid w:val="00711995"/>
    <w:rsid w:val="00712C5A"/>
    <w:rsid w:val="0071667E"/>
    <w:rsid w:val="00720C0D"/>
    <w:rsid w:val="00721913"/>
    <w:rsid w:val="0072434F"/>
    <w:rsid w:val="00725311"/>
    <w:rsid w:val="00727DEF"/>
    <w:rsid w:val="00731DA3"/>
    <w:rsid w:val="00733330"/>
    <w:rsid w:val="0074002C"/>
    <w:rsid w:val="00740E74"/>
    <w:rsid w:val="00741ECE"/>
    <w:rsid w:val="00750C4B"/>
    <w:rsid w:val="00752285"/>
    <w:rsid w:val="00755124"/>
    <w:rsid w:val="007573C1"/>
    <w:rsid w:val="007605BB"/>
    <w:rsid w:val="0076106B"/>
    <w:rsid w:val="00762B26"/>
    <w:rsid w:val="007631C9"/>
    <w:rsid w:val="00763402"/>
    <w:rsid w:val="00766054"/>
    <w:rsid w:val="00766236"/>
    <w:rsid w:val="00777BB7"/>
    <w:rsid w:val="00777E4A"/>
    <w:rsid w:val="00782692"/>
    <w:rsid w:val="007910BC"/>
    <w:rsid w:val="007927F7"/>
    <w:rsid w:val="00795E6F"/>
    <w:rsid w:val="007A3543"/>
    <w:rsid w:val="007A3D73"/>
    <w:rsid w:val="007A6A7C"/>
    <w:rsid w:val="007A7CAE"/>
    <w:rsid w:val="007B2155"/>
    <w:rsid w:val="007B545F"/>
    <w:rsid w:val="007B76E8"/>
    <w:rsid w:val="007C0D30"/>
    <w:rsid w:val="007C0D46"/>
    <w:rsid w:val="007C46D2"/>
    <w:rsid w:val="007D185E"/>
    <w:rsid w:val="007D3836"/>
    <w:rsid w:val="007D3D52"/>
    <w:rsid w:val="007D4831"/>
    <w:rsid w:val="007D4CDC"/>
    <w:rsid w:val="007D58CB"/>
    <w:rsid w:val="007E39EF"/>
    <w:rsid w:val="007E497F"/>
    <w:rsid w:val="007E7036"/>
    <w:rsid w:val="007F06F5"/>
    <w:rsid w:val="007F1239"/>
    <w:rsid w:val="007F504E"/>
    <w:rsid w:val="007F5F57"/>
    <w:rsid w:val="00800817"/>
    <w:rsid w:val="00801486"/>
    <w:rsid w:val="00803FC1"/>
    <w:rsid w:val="008054DC"/>
    <w:rsid w:val="00806E50"/>
    <w:rsid w:val="00810614"/>
    <w:rsid w:val="0081080C"/>
    <w:rsid w:val="00810A63"/>
    <w:rsid w:val="008244B4"/>
    <w:rsid w:val="0083147C"/>
    <w:rsid w:val="0083170B"/>
    <w:rsid w:val="008328CB"/>
    <w:rsid w:val="00833BA0"/>
    <w:rsid w:val="00835231"/>
    <w:rsid w:val="00836557"/>
    <w:rsid w:val="0084060D"/>
    <w:rsid w:val="00845CC5"/>
    <w:rsid w:val="0085053F"/>
    <w:rsid w:val="008510DE"/>
    <w:rsid w:val="00851312"/>
    <w:rsid w:val="0085537A"/>
    <w:rsid w:val="00861E9B"/>
    <w:rsid w:val="00862F29"/>
    <w:rsid w:val="0086790B"/>
    <w:rsid w:val="00871479"/>
    <w:rsid w:val="0087356E"/>
    <w:rsid w:val="00873C9A"/>
    <w:rsid w:val="008745A5"/>
    <w:rsid w:val="00874932"/>
    <w:rsid w:val="00874E7C"/>
    <w:rsid w:val="00881B6C"/>
    <w:rsid w:val="008827D4"/>
    <w:rsid w:val="00882935"/>
    <w:rsid w:val="008856FB"/>
    <w:rsid w:val="00885E8D"/>
    <w:rsid w:val="00894358"/>
    <w:rsid w:val="008A215E"/>
    <w:rsid w:val="008A46CF"/>
    <w:rsid w:val="008A7DBC"/>
    <w:rsid w:val="008B6802"/>
    <w:rsid w:val="008B6FC6"/>
    <w:rsid w:val="008C0364"/>
    <w:rsid w:val="008C2C8B"/>
    <w:rsid w:val="008C452A"/>
    <w:rsid w:val="008C4FCF"/>
    <w:rsid w:val="008C5009"/>
    <w:rsid w:val="008D328E"/>
    <w:rsid w:val="008D428A"/>
    <w:rsid w:val="008E31E1"/>
    <w:rsid w:val="008E64F3"/>
    <w:rsid w:val="008E6BD4"/>
    <w:rsid w:val="008F66E8"/>
    <w:rsid w:val="009006A9"/>
    <w:rsid w:val="009036D1"/>
    <w:rsid w:val="00903ED5"/>
    <w:rsid w:val="009041FA"/>
    <w:rsid w:val="00905A63"/>
    <w:rsid w:val="00907C44"/>
    <w:rsid w:val="0091034B"/>
    <w:rsid w:val="00910911"/>
    <w:rsid w:val="00913020"/>
    <w:rsid w:val="009131BC"/>
    <w:rsid w:val="00916C22"/>
    <w:rsid w:val="0092052E"/>
    <w:rsid w:val="00923A64"/>
    <w:rsid w:val="00927CB3"/>
    <w:rsid w:val="00927DDB"/>
    <w:rsid w:val="00931262"/>
    <w:rsid w:val="00933381"/>
    <w:rsid w:val="00936A10"/>
    <w:rsid w:val="009409CA"/>
    <w:rsid w:val="00947DB0"/>
    <w:rsid w:val="0095182E"/>
    <w:rsid w:val="00956007"/>
    <w:rsid w:val="0096214E"/>
    <w:rsid w:val="00962568"/>
    <w:rsid w:val="00963FC4"/>
    <w:rsid w:val="00967C33"/>
    <w:rsid w:val="00967F97"/>
    <w:rsid w:val="0097177D"/>
    <w:rsid w:val="00975B38"/>
    <w:rsid w:val="00975DE7"/>
    <w:rsid w:val="00976542"/>
    <w:rsid w:val="00981BCB"/>
    <w:rsid w:val="009838F6"/>
    <w:rsid w:val="00987F07"/>
    <w:rsid w:val="009905C9"/>
    <w:rsid w:val="00990CA9"/>
    <w:rsid w:val="009968FC"/>
    <w:rsid w:val="00996A0A"/>
    <w:rsid w:val="009A0753"/>
    <w:rsid w:val="009A0FD0"/>
    <w:rsid w:val="009A7628"/>
    <w:rsid w:val="009A7CEA"/>
    <w:rsid w:val="009B0DD0"/>
    <w:rsid w:val="009C2281"/>
    <w:rsid w:val="009D6323"/>
    <w:rsid w:val="009D6DC8"/>
    <w:rsid w:val="009D7437"/>
    <w:rsid w:val="009D7F02"/>
    <w:rsid w:val="009E0711"/>
    <w:rsid w:val="009E2722"/>
    <w:rsid w:val="009E5634"/>
    <w:rsid w:val="009F18CA"/>
    <w:rsid w:val="009F22E3"/>
    <w:rsid w:val="009F4742"/>
    <w:rsid w:val="009F545D"/>
    <w:rsid w:val="009F7002"/>
    <w:rsid w:val="009F76E7"/>
    <w:rsid w:val="009F7D59"/>
    <w:rsid w:val="00A046B0"/>
    <w:rsid w:val="00A0649D"/>
    <w:rsid w:val="00A066C9"/>
    <w:rsid w:val="00A0746D"/>
    <w:rsid w:val="00A10F8F"/>
    <w:rsid w:val="00A121AD"/>
    <w:rsid w:val="00A12A09"/>
    <w:rsid w:val="00A1336D"/>
    <w:rsid w:val="00A15A9D"/>
    <w:rsid w:val="00A164D4"/>
    <w:rsid w:val="00A31823"/>
    <w:rsid w:val="00A32539"/>
    <w:rsid w:val="00A32662"/>
    <w:rsid w:val="00A33C7C"/>
    <w:rsid w:val="00A372C1"/>
    <w:rsid w:val="00A37875"/>
    <w:rsid w:val="00A45981"/>
    <w:rsid w:val="00A47308"/>
    <w:rsid w:val="00A50004"/>
    <w:rsid w:val="00A50961"/>
    <w:rsid w:val="00A516DE"/>
    <w:rsid w:val="00A54334"/>
    <w:rsid w:val="00A56621"/>
    <w:rsid w:val="00A56CE4"/>
    <w:rsid w:val="00A577A6"/>
    <w:rsid w:val="00A61DAB"/>
    <w:rsid w:val="00A6320A"/>
    <w:rsid w:val="00A64527"/>
    <w:rsid w:val="00A71602"/>
    <w:rsid w:val="00A776C9"/>
    <w:rsid w:val="00A80509"/>
    <w:rsid w:val="00A80D15"/>
    <w:rsid w:val="00A8779A"/>
    <w:rsid w:val="00A90C1D"/>
    <w:rsid w:val="00A96F06"/>
    <w:rsid w:val="00AA1915"/>
    <w:rsid w:val="00AA3EC7"/>
    <w:rsid w:val="00AA7672"/>
    <w:rsid w:val="00AB190B"/>
    <w:rsid w:val="00AB7828"/>
    <w:rsid w:val="00AC01E1"/>
    <w:rsid w:val="00AC20CA"/>
    <w:rsid w:val="00AC484E"/>
    <w:rsid w:val="00AC5EDE"/>
    <w:rsid w:val="00AC6E09"/>
    <w:rsid w:val="00AD209E"/>
    <w:rsid w:val="00AE4B8B"/>
    <w:rsid w:val="00AE501F"/>
    <w:rsid w:val="00AE6A2E"/>
    <w:rsid w:val="00AE7A3B"/>
    <w:rsid w:val="00AF5C99"/>
    <w:rsid w:val="00AF7165"/>
    <w:rsid w:val="00AF77AC"/>
    <w:rsid w:val="00B06C59"/>
    <w:rsid w:val="00B07504"/>
    <w:rsid w:val="00B07D3E"/>
    <w:rsid w:val="00B07F33"/>
    <w:rsid w:val="00B107E9"/>
    <w:rsid w:val="00B12698"/>
    <w:rsid w:val="00B20474"/>
    <w:rsid w:val="00B21709"/>
    <w:rsid w:val="00B2191B"/>
    <w:rsid w:val="00B21C18"/>
    <w:rsid w:val="00B25D9D"/>
    <w:rsid w:val="00B272D4"/>
    <w:rsid w:val="00B3068B"/>
    <w:rsid w:val="00B3500F"/>
    <w:rsid w:val="00B3522B"/>
    <w:rsid w:val="00B35686"/>
    <w:rsid w:val="00B360A6"/>
    <w:rsid w:val="00B36C03"/>
    <w:rsid w:val="00B3760A"/>
    <w:rsid w:val="00B47862"/>
    <w:rsid w:val="00B50621"/>
    <w:rsid w:val="00B5383D"/>
    <w:rsid w:val="00B57C6D"/>
    <w:rsid w:val="00B601F0"/>
    <w:rsid w:val="00B60226"/>
    <w:rsid w:val="00B61F1A"/>
    <w:rsid w:val="00B62ED0"/>
    <w:rsid w:val="00B643D8"/>
    <w:rsid w:val="00B64ED7"/>
    <w:rsid w:val="00B65F2F"/>
    <w:rsid w:val="00B70E5F"/>
    <w:rsid w:val="00B70EF7"/>
    <w:rsid w:val="00B72390"/>
    <w:rsid w:val="00B73595"/>
    <w:rsid w:val="00B76519"/>
    <w:rsid w:val="00B83179"/>
    <w:rsid w:val="00B84ED3"/>
    <w:rsid w:val="00B872BD"/>
    <w:rsid w:val="00B90626"/>
    <w:rsid w:val="00B9085D"/>
    <w:rsid w:val="00B9278D"/>
    <w:rsid w:val="00B94A81"/>
    <w:rsid w:val="00B96A5B"/>
    <w:rsid w:val="00B96DE1"/>
    <w:rsid w:val="00BA0D21"/>
    <w:rsid w:val="00BA1B95"/>
    <w:rsid w:val="00BA252F"/>
    <w:rsid w:val="00BA4741"/>
    <w:rsid w:val="00BA61A1"/>
    <w:rsid w:val="00BA70BC"/>
    <w:rsid w:val="00BA71C7"/>
    <w:rsid w:val="00BB1ACC"/>
    <w:rsid w:val="00BB1D37"/>
    <w:rsid w:val="00BB468D"/>
    <w:rsid w:val="00BB4DBB"/>
    <w:rsid w:val="00BB6CE6"/>
    <w:rsid w:val="00BC0AA6"/>
    <w:rsid w:val="00BC22A9"/>
    <w:rsid w:val="00BC2ADE"/>
    <w:rsid w:val="00BC3682"/>
    <w:rsid w:val="00BC57D0"/>
    <w:rsid w:val="00BC6B62"/>
    <w:rsid w:val="00BC704F"/>
    <w:rsid w:val="00BD2733"/>
    <w:rsid w:val="00BD311E"/>
    <w:rsid w:val="00BD3436"/>
    <w:rsid w:val="00BD360A"/>
    <w:rsid w:val="00BD3983"/>
    <w:rsid w:val="00BD5783"/>
    <w:rsid w:val="00BE28F8"/>
    <w:rsid w:val="00BE4DF9"/>
    <w:rsid w:val="00BE59B5"/>
    <w:rsid w:val="00BF0DA7"/>
    <w:rsid w:val="00BF3E59"/>
    <w:rsid w:val="00BF641F"/>
    <w:rsid w:val="00C04D56"/>
    <w:rsid w:val="00C061B0"/>
    <w:rsid w:val="00C062AE"/>
    <w:rsid w:val="00C07420"/>
    <w:rsid w:val="00C07C45"/>
    <w:rsid w:val="00C12651"/>
    <w:rsid w:val="00C129D6"/>
    <w:rsid w:val="00C20814"/>
    <w:rsid w:val="00C24A19"/>
    <w:rsid w:val="00C27376"/>
    <w:rsid w:val="00C27F84"/>
    <w:rsid w:val="00C3090C"/>
    <w:rsid w:val="00C31A1C"/>
    <w:rsid w:val="00C34305"/>
    <w:rsid w:val="00C36235"/>
    <w:rsid w:val="00C435D8"/>
    <w:rsid w:val="00C4595B"/>
    <w:rsid w:val="00C45CF2"/>
    <w:rsid w:val="00C509CF"/>
    <w:rsid w:val="00C54F9A"/>
    <w:rsid w:val="00C55F27"/>
    <w:rsid w:val="00C56164"/>
    <w:rsid w:val="00C61B42"/>
    <w:rsid w:val="00C62937"/>
    <w:rsid w:val="00C71627"/>
    <w:rsid w:val="00C76006"/>
    <w:rsid w:val="00C7653A"/>
    <w:rsid w:val="00C80CB3"/>
    <w:rsid w:val="00C83ED0"/>
    <w:rsid w:val="00C8765A"/>
    <w:rsid w:val="00C93754"/>
    <w:rsid w:val="00C9434C"/>
    <w:rsid w:val="00C94BD4"/>
    <w:rsid w:val="00C97E8F"/>
    <w:rsid w:val="00CA1067"/>
    <w:rsid w:val="00CA4D36"/>
    <w:rsid w:val="00CA6731"/>
    <w:rsid w:val="00CA6B8A"/>
    <w:rsid w:val="00CB0810"/>
    <w:rsid w:val="00CB11D6"/>
    <w:rsid w:val="00CB2FC9"/>
    <w:rsid w:val="00CB330C"/>
    <w:rsid w:val="00CB3807"/>
    <w:rsid w:val="00CB43C5"/>
    <w:rsid w:val="00CB565F"/>
    <w:rsid w:val="00CC0292"/>
    <w:rsid w:val="00CC238E"/>
    <w:rsid w:val="00CC2FAA"/>
    <w:rsid w:val="00CD12C2"/>
    <w:rsid w:val="00CD1C80"/>
    <w:rsid w:val="00CD2CF4"/>
    <w:rsid w:val="00CD5162"/>
    <w:rsid w:val="00CD6146"/>
    <w:rsid w:val="00CE1469"/>
    <w:rsid w:val="00CE22E6"/>
    <w:rsid w:val="00CE6765"/>
    <w:rsid w:val="00CF0AD1"/>
    <w:rsid w:val="00CF49A1"/>
    <w:rsid w:val="00CF6A04"/>
    <w:rsid w:val="00D004E5"/>
    <w:rsid w:val="00D02F92"/>
    <w:rsid w:val="00D0471A"/>
    <w:rsid w:val="00D05520"/>
    <w:rsid w:val="00D05E61"/>
    <w:rsid w:val="00D12D01"/>
    <w:rsid w:val="00D1322C"/>
    <w:rsid w:val="00D1580F"/>
    <w:rsid w:val="00D20367"/>
    <w:rsid w:val="00D2100B"/>
    <w:rsid w:val="00D2187D"/>
    <w:rsid w:val="00D21E52"/>
    <w:rsid w:val="00D2232F"/>
    <w:rsid w:val="00D249A0"/>
    <w:rsid w:val="00D25DE5"/>
    <w:rsid w:val="00D30A14"/>
    <w:rsid w:val="00D32780"/>
    <w:rsid w:val="00D345EB"/>
    <w:rsid w:val="00D354A3"/>
    <w:rsid w:val="00D36999"/>
    <w:rsid w:val="00D36A71"/>
    <w:rsid w:val="00D40657"/>
    <w:rsid w:val="00D41A6E"/>
    <w:rsid w:val="00D4637F"/>
    <w:rsid w:val="00D47972"/>
    <w:rsid w:val="00D506EB"/>
    <w:rsid w:val="00D52AF0"/>
    <w:rsid w:val="00D53A85"/>
    <w:rsid w:val="00D55218"/>
    <w:rsid w:val="00D55A9F"/>
    <w:rsid w:val="00D6370B"/>
    <w:rsid w:val="00D668BA"/>
    <w:rsid w:val="00D67D39"/>
    <w:rsid w:val="00D848E4"/>
    <w:rsid w:val="00D84A76"/>
    <w:rsid w:val="00D92270"/>
    <w:rsid w:val="00D95019"/>
    <w:rsid w:val="00DA26BC"/>
    <w:rsid w:val="00DA39FD"/>
    <w:rsid w:val="00DA4C8A"/>
    <w:rsid w:val="00DB0C41"/>
    <w:rsid w:val="00DB20B6"/>
    <w:rsid w:val="00DB4382"/>
    <w:rsid w:val="00DB4DEF"/>
    <w:rsid w:val="00DB6BB8"/>
    <w:rsid w:val="00DC0E19"/>
    <w:rsid w:val="00DC23F9"/>
    <w:rsid w:val="00DC2D50"/>
    <w:rsid w:val="00DC30E8"/>
    <w:rsid w:val="00DC414B"/>
    <w:rsid w:val="00DC73C9"/>
    <w:rsid w:val="00DC7489"/>
    <w:rsid w:val="00DD02D5"/>
    <w:rsid w:val="00DD0FDA"/>
    <w:rsid w:val="00DD1C97"/>
    <w:rsid w:val="00DD2429"/>
    <w:rsid w:val="00DD4337"/>
    <w:rsid w:val="00DD6CAF"/>
    <w:rsid w:val="00DE1D01"/>
    <w:rsid w:val="00DE34DE"/>
    <w:rsid w:val="00DE4B13"/>
    <w:rsid w:val="00DE52A9"/>
    <w:rsid w:val="00DE5C4B"/>
    <w:rsid w:val="00DE7441"/>
    <w:rsid w:val="00DE7AE7"/>
    <w:rsid w:val="00DF1683"/>
    <w:rsid w:val="00DF1A2E"/>
    <w:rsid w:val="00DF7BDB"/>
    <w:rsid w:val="00E00D88"/>
    <w:rsid w:val="00E03449"/>
    <w:rsid w:val="00E05B02"/>
    <w:rsid w:val="00E05B19"/>
    <w:rsid w:val="00E06EB2"/>
    <w:rsid w:val="00E072D1"/>
    <w:rsid w:val="00E0769C"/>
    <w:rsid w:val="00E133E8"/>
    <w:rsid w:val="00E16F95"/>
    <w:rsid w:val="00E27BAB"/>
    <w:rsid w:val="00E31042"/>
    <w:rsid w:val="00E325B0"/>
    <w:rsid w:val="00E3272B"/>
    <w:rsid w:val="00E356A8"/>
    <w:rsid w:val="00E37E50"/>
    <w:rsid w:val="00E40ECC"/>
    <w:rsid w:val="00E43D10"/>
    <w:rsid w:val="00E43F36"/>
    <w:rsid w:val="00E4716D"/>
    <w:rsid w:val="00E533FA"/>
    <w:rsid w:val="00E53990"/>
    <w:rsid w:val="00E54D78"/>
    <w:rsid w:val="00E551E9"/>
    <w:rsid w:val="00E571D5"/>
    <w:rsid w:val="00E57F9A"/>
    <w:rsid w:val="00E6321F"/>
    <w:rsid w:val="00E67E09"/>
    <w:rsid w:val="00E71113"/>
    <w:rsid w:val="00E73233"/>
    <w:rsid w:val="00E751E7"/>
    <w:rsid w:val="00E76F17"/>
    <w:rsid w:val="00E76F55"/>
    <w:rsid w:val="00E86C2D"/>
    <w:rsid w:val="00E975A6"/>
    <w:rsid w:val="00E97B81"/>
    <w:rsid w:val="00EB1626"/>
    <w:rsid w:val="00EB383D"/>
    <w:rsid w:val="00EB62CD"/>
    <w:rsid w:val="00EC599E"/>
    <w:rsid w:val="00ED09B6"/>
    <w:rsid w:val="00ED3533"/>
    <w:rsid w:val="00ED5A6E"/>
    <w:rsid w:val="00ED7D64"/>
    <w:rsid w:val="00EE17E1"/>
    <w:rsid w:val="00EF16F1"/>
    <w:rsid w:val="00EF39FA"/>
    <w:rsid w:val="00EF5606"/>
    <w:rsid w:val="00EF5BD4"/>
    <w:rsid w:val="00EF5D35"/>
    <w:rsid w:val="00EF5F32"/>
    <w:rsid w:val="00F0275D"/>
    <w:rsid w:val="00F03E3B"/>
    <w:rsid w:val="00F05EC9"/>
    <w:rsid w:val="00F06FE8"/>
    <w:rsid w:val="00F073A5"/>
    <w:rsid w:val="00F07A55"/>
    <w:rsid w:val="00F10048"/>
    <w:rsid w:val="00F10222"/>
    <w:rsid w:val="00F10C49"/>
    <w:rsid w:val="00F126CB"/>
    <w:rsid w:val="00F13153"/>
    <w:rsid w:val="00F13A2C"/>
    <w:rsid w:val="00F14356"/>
    <w:rsid w:val="00F14FE6"/>
    <w:rsid w:val="00F152F9"/>
    <w:rsid w:val="00F21199"/>
    <w:rsid w:val="00F21AB6"/>
    <w:rsid w:val="00F230EA"/>
    <w:rsid w:val="00F248C6"/>
    <w:rsid w:val="00F27B4C"/>
    <w:rsid w:val="00F31254"/>
    <w:rsid w:val="00F33179"/>
    <w:rsid w:val="00F34E41"/>
    <w:rsid w:val="00F35B09"/>
    <w:rsid w:val="00F36E85"/>
    <w:rsid w:val="00F372DB"/>
    <w:rsid w:val="00F37677"/>
    <w:rsid w:val="00F4172C"/>
    <w:rsid w:val="00F421A2"/>
    <w:rsid w:val="00F42437"/>
    <w:rsid w:val="00F50772"/>
    <w:rsid w:val="00F507FB"/>
    <w:rsid w:val="00F50C38"/>
    <w:rsid w:val="00F53DC7"/>
    <w:rsid w:val="00F62CFC"/>
    <w:rsid w:val="00F64B52"/>
    <w:rsid w:val="00F66852"/>
    <w:rsid w:val="00F70FB1"/>
    <w:rsid w:val="00F71DCA"/>
    <w:rsid w:val="00F7339F"/>
    <w:rsid w:val="00F73922"/>
    <w:rsid w:val="00F744CD"/>
    <w:rsid w:val="00F745F9"/>
    <w:rsid w:val="00F74F6B"/>
    <w:rsid w:val="00F76C9D"/>
    <w:rsid w:val="00F81943"/>
    <w:rsid w:val="00F833D5"/>
    <w:rsid w:val="00F83943"/>
    <w:rsid w:val="00F85D8F"/>
    <w:rsid w:val="00F85FF0"/>
    <w:rsid w:val="00F938ED"/>
    <w:rsid w:val="00FA4083"/>
    <w:rsid w:val="00FA5380"/>
    <w:rsid w:val="00FA7D6D"/>
    <w:rsid w:val="00FB2747"/>
    <w:rsid w:val="00FB5C48"/>
    <w:rsid w:val="00FB714B"/>
    <w:rsid w:val="00FC692D"/>
    <w:rsid w:val="00FD2155"/>
    <w:rsid w:val="00FD73D1"/>
    <w:rsid w:val="00FE36AF"/>
    <w:rsid w:val="00FE433B"/>
    <w:rsid w:val="00FE5D74"/>
    <w:rsid w:val="00FF3997"/>
    <w:rsid w:val="00FF7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02A7"/>
  <w15:chartTrackingRefBased/>
  <w15:docId w15:val="{C550944C-2E26-42BD-8A5F-32C08021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lfld-contribauthor">
    <w:name w:val="hlfld-contribauthor"/>
    <w:basedOn w:val="Fuentedeprrafopredeter"/>
    <w:rsid w:val="00E3272B"/>
  </w:style>
  <w:style w:type="character" w:customStyle="1" w:styleId="nlmgiven-names">
    <w:name w:val="nlm_given-names"/>
    <w:basedOn w:val="Fuentedeprrafopredeter"/>
    <w:rsid w:val="00E3272B"/>
  </w:style>
  <w:style w:type="character" w:customStyle="1" w:styleId="nlmyear">
    <w:name w:val="nlm_year"/>
    <w:basedOn w:val="Fuentedeprrafopredeter"/>
    <w:rsid w:val="00E3272B"/>
  </w:style>
  <w:style w:type="character" w:customStyle="1" w:styleId="nlmarticle-title">
    <w:name w:val="nlm_article-title"/>
    <w:basedOn w:val="Fuentedeprrafopredeter"/>
    <w:rsid w:val="00E3272B"/>
  </w:style>
  <w:style w:type="character" w:customStyle="1" w:styleId="nlmfpage">
    <w:name w:val="nlm_fpage"/>
    <w:basedOn w:val="Fuentedeprrafopredeter"/>
    <w:rsid w:val="00E3272B"/>
  </w:style>
  <w:style w:type="character" w:customStyle="1" w:styleId="nlmlpage">
    <w:name w:val="nlm_lpage"/>
    <w:basedOn w:val="Fuentedeprrafopredeter"/>
    <w:rsid w:val="00E3272B"/>
  </w:style>
  <w:style w:type="character" w:customStyle="1" w:styleId="nlmpub-id">
    <w:name w:val="nlm_pub-id"/>
    <w:basedOn w:val="Fuentedeprrafopredeter"/>
    <w:rsid w:val="00E3272B"/>
  </w:style>
  <w:style w:type="character" w:customStyle="1" w:styleId="reflink-block">
    <w:name w:val="reflink-block"/>
    <w:basedOn w:val="Fuentedeprrafopredeter"/>
    <w:rsid w:val="00E3272B"/>
  </w:style>
  <w:style w:type="character" w:customStyle="1" w:styleId="xlinks-container">
    <w:name w:val="xlinks-container"/>
    <w:basedOn w:val="Fuentedeprrafopredeter"/>
    <w:rsid w:val="00E3272B"/>
  </w:style>
  <w:style w:type="character" w:styleId="Hipervnculo">
    <w:name w:val="Hyperlink"/>
    <w:basedOn w:val="Fuentedeprrafopredeter"/>
    <w:uiPriority w:val="99"/>
    <w:unhideWhenUsed/>
    <w:rsid w:val="00E3272B"/>
    <w:rPr>
      <w:color w:val="0000FF"/>
      <w:u w:val="single"/>
    </w:rPr>
  </w:style>
  <w:style w:type="character" w:customStyle="1" w:styleId="googlescholar-container">
    <w:name w:val="googlescholar-container"/>
    <w:basedOn w:val="Fuentedeprrafopredeter"/>
    <w:rsid w:val="00E3272B"/>
  </w:style>
  <w:style w:type="character" w:customStyle="1" w:styleId="authors">
    <w:name w:val="authors"/>
    <w:basedOn w:val="Fuentedeprrafopredeter"/>
    <w:rsid w:val="00513F7F"/>
  </w:style>
  <w:style w:type="character" w:customStyle="1" w:styleId="Fecha1">
    <w:name w:val="Fecha1"/>
    <w:basedOn w:val="Fuentedeprrafopredeter"/>
    <w:rsid w:val="00513F7F"/>
  </w:style>
  <w:style w:type="character" w:customStyle="1" w:styleId="arttitle">
    <w:name w:val="art_title"/>
    <w:basedOn w:val="Fuentedeprrafopredeter"/>
    <w:rsid w:val="00513F7F"/>
  </w:style>
  <w:style w:type="character" w:customStyle="1" w:styleId="serialtitle">
    <w:name w:val="serial_title"/>
    <w:basedOn w:val="Fuentedeprrafopredeter"/>
    <w:rsid w:val="00513F7F"/>
  </w:style>
  <w:style w:type="character" w:customStyle="1" w:styleId="volumeissue">
    <w:name w:val="volume_issue"/>
    <w:basedOn w:val="Fuentedeprrafopredeter"/>
    <w:rsid w:val="00513F7F"/>
  </w:style>
  <w:style w:type="character" w:customStyle="1" w:styleId="pagerange">
    <w:name w:val="page_range"/>
    <w:basedOn w:val="Fuentedeprrafopredeter"/>
    <w:rsid w:val="00513F7F"/>
  </w:style>
  <w:style w:type="character" w:customStyle="1" w:styleId="doilink">
    <w:name w:val="doi_link"/>
    <w:basedOn w:val="Fuentedeprrafopredeter"/>
    <w:rsid w:val="00513F7F"/>
  </w:style>
  <w:style w:type="character" w:customStyle="1" w:styleId="Mencinsinresolver1">
    <w:name w:val="Mención sin resolver1"/>
    <w:basedOn w:val="Fuentedeprrafopredeter"/>
    <w:uiPriority w:val="99"/>
    <w:semiHidden/>
    <w:unhideWhenUsed/>
    <w:rsid w:val="00244272"/>
    <w:rPr>
      <w:color w:val="605E5C"/>
      <w:shd w:val="clear" w:color="auto" w:fill="E1DFDD"/>
    </w:rPr>
  </w:style>
  <w:style w:type="character" w:styleId="CitaHTML">
    <w:name w:val="HTML Cite"/>
    <w:basedOn w:val="Fuentedeprrafopredeter"/>
    <w:uiPriority w:val="99"/>
    <w:semiHidden/>
    <w:unhideWhenUsed/>
    <w:rsid w:val="007D4CDC"/>
    <w:rPr>
      <w:i/>
      <w:iCs/>
    </w:rPr>
  </w:style>
  <w:style w:type="character" w:customStyle="1" w:styleId="docurl">
    <w:name w:val="docurl"/>
    <w:basedOn w:val="Fuentedeprrafopredeter"/>
    <w:rsid w:val="000A29FC"/>
  </w:style>
  <w:style w:type="character" w:styleId="Textoennegrita">
    <w:name w:val="Strong"/>
    <w:basedOn w:val="Fuentedeprrafopredeter"/>
    <w:uiPriority w:val="22"/>
    <w:qFormat/>
    <w:rsid w:val="000C35B7"/>
    <w:rPr>
      <w:b/>
      <w:bCs/>
    </w:rPr>
  </w:style>
  <w:style w:type="character" w:customStyle="1" w:styleId="familyname">
    <w:name w:val="familyname"/>
    <w:basedOn w:val="Fuentedeprrafopredeter"/>
    <w:rsid w:val="000C35B7"/>
  </w:style>
  <w:style w:type="character" w:styleId="nfasis">
    <w:name w:val="Emphasis"/>
    <w:basedOn w:val="Fuentedeprrafopredeter"/>
    <w:uiPriority w:val="20"/>
    <w:qFormat/>
    <w:rsid w:val="000C35B7"/>
    <w:rPr>
      <w:i/>
      <w:iCs/>
    </w:rPr>
  </w:style>
  <w:style w:type="paragraph" w:customStyle="1" w:styleId="Default">
    <w:name w:val="Default"/>
    <w:rsid w:val="0085131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3048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821"/>
  </w:style>
  <w:style w:type="paragraph" w:styleId="Piedepgina">
    <w:name w:val="footer"/>
    <w:basedOn w:val="Normal"/>
    <w:link w:val="PiedepginaCar"/>
    <w:uiPriority w:val="99"/>
    <w:unhideWhenUsed/>
    <w:rsid w:val="003048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821"/>
  </w:style>
  <w:style w:type="character" w:styleId="Textodelmarcadordeposicin">
    <w:name w:val="Placeholder Text"/>
    <w:basedOn w:val="Fuentedeprrafopredeter"/>
    <w:uiPriority w:val="99"/>
    <w:semiHidden/>
    <w:rsid w:val="00936A10"/>
    <w:rPr>
      <w:color w:val="808080"/>
    </w:rPr>
  </w:style>
  <w:style w:type="paragraph" w:styleId="Prrafodelista">
    <w:name w:val="List Paragraph"/>
    <w:basedOn w:val="Normal"/>
    <w:uiPriority w:val="34"/>
    <w:qFormat/>
    <w:rsid w:val="00F70FB1"/>
    <w:pPr>
      <w:ind w:left="720"/>
      <w:contextualSpacing/>
    </w:pPr>
  </w:style>
  <w:style w:type="table" w:styleId="Tablaconcuadrcula">
    <w:name w:val="Table Grid"/>
    <w:basedOn w:val="Tablanormal"/>
    <w:uiPriority w:val="39"/>
    <w:rsid w:val="0022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D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D01"/>
    <w:rPr>
      <w:rFonts w:ascii="Segoe UI" w:hAnsi="Segoe UI" w:cs="Segoe UI"/>
      <w:sz w:val="18"/>
      <w:szCs w:val="18"/>
    </w:rPr>
  </w:style>
  <w:style w:type="character" w:customStyle="1" w:styleId="html-italic">
    <w:name w:val="html-italic"/>
    <w:basedOn w:val="Fuentedeprrafopredeter"/>
    <w:rsid w:val="00F7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440">
      <w:bodyDiv w:val="1"/>
      <w:marLeft w:val="0"/>
      <w:marRight w:val="0"/>
      <w:marTop w:val="0"/>
      <w:marBottom w:val="0"/>
      <w:divBdr>
        <w:top w:val="none" w:sz="0" w:space="0" w:color="auto"/>
        <w:left w:val="none" w:sz="0" w:space="0" w:color="auto"/>
        <w:bottom w:val="none" w:sz="0" w:space="0" w:color="auto"/>
        <w:right w:val="none" w:sz="0" w:space="0" w:color="auto"/>
      </w:divBdr>
    </w:div>
    <w:div w:id="142934531">
      <w:bodyDiv w:val="1"/>
      <w:marLeft w:val="0"/>
      <w:marRight w:val="0"/>
      <w:marTop w:val="0"/>
      <w:marBottom w:val="0"/>
      <w:divBdr>
        <w:top w:val="none" w:sz="0" w:space="0" w:color="auto"/>
        <w:left w:val="none" w:sz="0" w:space="0" w:color="auto"/>
        <w:bottom w:val="none" w:sz="0" w:space="0" w:color="auto"/>
        <w:right w:val="none" w:sz="0" w:space="0" w:color="auto"/>
      </w:divBdr>
    </w:div>
    <w:div w:id="397216845">
      <w:bodyDiv w:val="1"/>
      <w:marLeft w:val="0"/>
      <w:marRight w:val="0"/>
      <w:marTop w:val="0"/>
      <w:marBottom w:val="0"/>
      <w:divBdr>
        <w:top w:val="none" w:sz="0" w:space="0" w:color="auto"/>
        <w:left w:val="none" w:sz="0" w:space="0" w:color="auto"/>
        <w:bottom w:val="none" w:sz="0" w:space="0" w:color="auto"/>
        <w:right w:val="none" w:sz="0" w:space="0" w:color="auto"/>
      </w:divBdr>
    </w:div>
    <w:div w:id="495612008">
      <w:bodyDiv w:val="1"/>
      <w:marLeft w:val="0"/>
      <w:marRight w:val="0"/>
      <w:marTop w:val="0"/>
      <w:marBottom w:val="0"/>
      <w:divBdr>
        <w:top w:val="none" w:sz="0" w:space="0" w:color="auto"/>
        <w:left w:val="none" w:sz="0" w:space="0" w:color="auto"/>
        <w:bottom w:val="none" w:sz="0" w:space="0" w:color="auto"/>
        <w:right w:val="none" w:sz="0" w:space="0" w:color="auto"/>
      </w:divBdr>
    </w:div>
    <w:div w:id="561599732">
      <w:bodyDiv w:val="1"/>
      <w:marLeft w:val="0"/>
      <w:marRight w:val="0"/>
      <w:marTop w:val="0"/>
      <w:marBottom w:val="0"/>
      <w:divBdr>
        <w:top w:val="none" w:sz="0" w:space="0" w:color="auto"/>
        <w:left w:val="none" w:sz="0" w:space="0" w:color="auto"/>
        <w:bottom w:val="none" w:sz="0" w:space="0" w:color="auto"/>
        <w:right w:val="none" w:sz="0" w:space="0" w:color="auto"/>
      </w:divBdr>
    </w:div>
    <w:div w:id="703679112">
      <w:bodyDiv w:val="1"/>
      <w:marLeft w:val="0"/>
      <w:marRight w:val="0"/>
      <w:marTop w:val="0"/>
      <w:marBottom w:val="0"/>
      <w:divBdr>
        <w:top w:val="none" w:sz="0" w:space="0" w:color="auto"/>
        <w:left w:val="none" w:sz="0" w:space="0" w:color="auto"/>
        <w:bottom w:val="none" w:sz="0" w:space="0" w:color="auto"/>
        <w:right w:val="none" w:sz="0" w:space="0" w:color="auto"/>
      </w:divBdr>
    </w:div>
    <w:div w:id="831877397">
      <w:bodyDiv w:val="1"/>
      <w:marLeft w:val="0"/>
      <w:marRight w:val="0"/>
      <w:marTop w:val="0"/>
      <w:marBottom w:val="0"/>
      <w:divBdr>
        <w:top w:val="none" w:sz="0" w:space="0" w:color="auto"/>
        <w:left w:val="none" w:sz="0" w:space="0" w:color="auto"/>
        <w:bottom w:val="none" w:sz="0" w:space="0" w:color="auto"/>
        <w:right w:val="none" w:sz="0" w:space="0" w:color="auto"/>
      </w:divBdr>
    </w:div>
    <w:div w:id="896817898">
      <w:bodyDiv w:val="1"/>
      <w:marLeft w:val="0"/>
      <w:marRight w:val="0"/>
      <w:marTop w:val="0"/>
      <w:marBottom w:val="0"/>
      <w:divBdr>
        <w:top w:val="none" w:sz="0" w:space="0" w:color="auto"/>
        <w:left w:val="none" w:sz="0" w:space="0" w:color="auto"/>
        <w:bottom w:val="none" w:sz="0" w:space="0" w:color="auto"/>
        <w:right w:val="none" w:sz="0" w:space="0" w:color="auto"/>
      </w:divBdr>
    </w:div>
    <w:div w:id="939332751">
      <w:bodyDiv w:val="1"/>
      <w:marLeft w:val="0"/>
      <w:marRight w:val="0"/>
      <w:marTop w:val="0"/>
      <w:marBottom w:val="0"/>
      <w:divBdr>
        <w:top w:val="none" w:sz="0" w:space="0" w:color="auto"/>
        <w:left w:val="none" w:sz="0" w:space="0" w:color="auto"/>
        <w:bottom w:val="none" w:sz="0" w:space="0" w:color="auto"/>
        <w:right w:val="none" w:sz="0" w:space="0" w:color="auto"/>
      </w:divBdr>
    </w:div>
    <w:div w:id="940264419">
      <w:bodyDiv w:val="1"/>
      <w:marLeft w:val="0"/>
      <w:marRight w:val="0"/>
      <w:marTop w:val="0"/>
      <w:marBottom w:val="0"/>
      <w:divBdr>
        <w:top w:val="none" w:sz="0" w:space="0" w:color="auto"/>
        <w:left w:val="none" w:sz="0" w:space="0" w:color="auto"/>
        <w:bottom w:val="none" w:sz="0" w:space="0" w:color="auto"/>
        <w:right w:val="none" w:sz="0" w:space="0" w:color="auto"/>
      </w:divBdr>
      <w:divsChild>
        <w:div w:id="1236431995">
          <w:marLeft w:val="0"/>
          <w:marRight w:val="0"/>
          <w:marTop w:val="0"/>
          <w:marBottom w:val="0"/>
          <w:divBdr>
            <w:top w:val="none" w:sz="0" w:space="0" w:color="auto"/>
            <w:left w:val="none" w:sz="0" w:space="0" w:color="auto"/>
            <w:bottom w:val="none" w:sz="0" w:space="0" w:color="auto"/>
            <w:right w:val="none" w:sz="0" w:space="0" w:color="auto"/>
          </w:divBdr>
        </w:div>
        <w:div w:id="1263680704">
          <w:marLeft w:val="0"/>
          <w:marRight w:val="0"/>
          <w:marTop w:val="0"/>
          <w:marBottom w:val="0"/>
          <w:divBdr>
            <w:top w:val="none" w:sz="0" w:space="0" w:color="auto"/>
            <w:left w:val="none" w:sz="0" w:space="0" w:color="auto"/>
            <w:bottom w:val="none" w:sz="0" w:space="0" w:color="auto"/>
            <w:right w:val="none" w:sz="0" w:space="0" w:color="auto"/>
          </w:divBdr>
        </w:div>
        <w:div w:id="1027828031">
          <w:marLeft w:val="0"/>
          <w:marRight w:val="0"/>
          <w:marTop w:val="0"/>
          <w:marBottom w:val="0"/>
          <w:divBdr>
            <w:top w:val="none" w:sz="0" w:space="0" w:color="auto"/>
            <w:left w:val="none" w:sz="0" w:space="0" w:color="auto"/>
            <w:bottom w:val="none" w:sz="0" w:space="0" w:color="auto"/>
            <w:right w:val="none" w:sz="0" w:space="0" w:color="auto"/>
          </w:divBdr>
        </w:div>
      </w:divsChild>
    </w:div>
    <w:div w:id="941497854">
      <w:bodyDiv w:val="1"/>
      <w:marLeft w:val="0"/>
      <w:marRight w:val="0"/>
      <w:marTop w:val="0"/>
      <w:marBottom w:val="0"/>
      <w:divBdr>
        <w:top w:val="none" w:sz="0" w:space="0" w:color="auto"/>
        <w:left w:val="none" w:sz="0" w:space="0" w:color="auto"/>
        <w:bottom w:val="none" w:sz="0" w:space="0" w:color="auto"/>
        <w:right w:val="none" w:sz="0" w:space="0" w:color="auto"/>
      </w:divBdr>
    </w:div>
    <w:div w:id="1065178140">
      <w:bodyDiv w:val="1"/>
      <w:marLeft w:val="0"/>
      <w:marRight w:val="0"/>
      <w:marTop w:val="0"/>
      <w:marBottom w:val="0"/>
      <w:divBdr>
        <w:top w:val="none" w:sz="0" w:space="0" w:color="auto"/>
        <w:left w:val="none" w:sz="0" w:space="0" w:color="auto"/>
        <w:bottom w:val="none" w:sz="0" w:space="0" w:color="auto"/>
        <w:right w:val="none" w:sz="0" w:space="0" w:color="auto"/>
      </w:divBdr>
    </w:div>
    <w:div w:id="1091387647">
      <w:bodyDiv w:val="1"/>
      <w:marLeft w:val="0"/>
      <w:marRight w:val="0"/>
      <w:marTop w:val="0"/>
      <w:marBottom w:val="0"/>
      <w:divBdr>
        <w:top w:val="none" w:sz="0" w:space="0" w:color="auto"/>
        <w:left w:val="none" w:sz="0" w:space="0" w:color="auto"/>
        <w:bottom w:val="none" w:sz="0" w:space="0" w:color="auto"/>
        <w:right w:val="none" w:sz="0" w:space="0" w:color="auto"/>
      </w:divBdr>
    </w:div>
    <w:div w:id="1160271505">
      <w:bodyDiv w:val="1"/>
      <w:marLeft w:val="0"/>
      <w:marRight w:val="0"/>
      <w:marTop w:val="0"/>
      <w:marBottom w:val="0"/>
      <w:divBdr>
        <w:top w:val="none" w:sz="0" w:space="0" w:color="auto"/>
        <w:left w:val="none" w:sz="0" w:space="0" w:color="auto"/>
        <w:bottom w:val="none" w:sz="0" w:space="0" w:color="auto"/>
        <w:right w:val="none" w:sz="0" w:space="0" w:color="auto"/>
      </w:divBdr>
    </w:div>
    <w:div w:id="1195845000">
      <w:bodyDiv w:val="1"/>
      <w:marLeft w:val="0"/>
      <w:marRight w:val="0"/>
      <w:marTop w:val="0"/>
      <w:marBottom w:val="0"/>
      <w:divBdr>
        <w:top w:val="none" w:sz="0" w:space="0" w:color="auto"/>
        <w:left w:val="none" w:sz="0" w:space="0" w:color="auto"/>
        <w:bottom w:val="none" w:sz="0" w:space="0" w:color="auto"/>
        <w:right w:val="none" w:sz="0" w:space="0" w:color="auto"/>
      </w:divBdr>
      <w:divsChild>
        <w:div w:id="1314991445">
          <w:marLeft w:val="0"/>
          <w:marRight w:val="0"/>
          <w:marTop w:val="0"/>
          <w:marBottom w:val="0"/>
          <w:divBdr>
            <w:top w:val="none" w:sz="0" w:space="0" w:color="auto"/>
            <w:left w:val="none" w:sz="0" w:space="0" w:color="auto"/>
            <w:bottom w:val="none" w:sz="0" w:space="0" w:color="auto"/>
            <w:right w:val="none" w:sz="0" w:space="0" w:color="auto"/>
          </w:divBdr>
        </w:div>
        <w:div w:id="628514387">
          <w:marLeft w:val="0"/>
          <w:marRight w:val="0"/>
          <w:marTop w:val="0"/>
          <w:marBottom w:val="0"/>
          <w:divBdr>
            <w:top w:val="none" w:sz="0" w:space="0" w:color="auto"/>
            <w:left w:val="none" w:sz="0" w:space="0" w:color="auto"/>
            <w:bottom w:val="none" w:sz="0" w:space="0" w:color="auto"/>
            <w:right w:val="none" w:sz="0" w:space="0" w:color="auto"/>
          </w:divBdr>
        </w:div>
        <w:div w:id="852575919">
          <w:marLeft w:val="0"/>
          <w:marRight w:val="0"/>
          <w:marTop w:val="0"/>
          <w:marBottom w:val="0"/>
          <w:divBdr>
            <w:top w:val="none" w:sz="0" w:space="0" w:color="auto"/>
            <w:left w:val="none" w:sz="0" w:space="0" w:color="auto"/>
            <w:bottom w:val="none" w:sz="0" w:space="0" w:color="auto"/>
            <w:right w:val="none" w:sz="0" w:space="0" w:color="auto"/>
          </w:divBdr>
        </w:div>
        <w:div w:id="1040786697">
          <w:marLeft w:val="0"/>
          <w:marRight w:val="0"/>
          <w:marTop w:val="0"/>
          <w:marBottom w:val="0"/>
          <w:divBdr>
            <w:top w:val="none" w:sz="0" w:space="0" w:color="auto"/>
            <w:left w:val="none" w:sz="0" w:space="0" w:color="auto"/>
            <w:bottom w:val="none" w:sz="0" w:space="0" w:color="auto"/>
            <w:right w:val="none" w:sz="0" w:space="0" w:color="auto"/>
          </w:divBdr>
        </w:div>
        <w:div w:id="1529678921">
          <w:marLeft w:val="0"/>
          <w:marRight w:val="0"/>
          <w:marTop w:val="0"/>
          <w:marBottom w:val="0"/>
          <w:divBdr>
            <w:top w:val="none" w:sz="0" w:space="0" w:color="auto"/>
            <w:left w:val="none" w:sz="0" w:space="0" w:color="auto"/>
            <w:bottom w:val="none" w:sz="0" w:space="0" w:color="auto"/>
            <w:right w:val="none" w:sz="0" w:space="0" w:color="auto"/>
          </w:divBdr>
        </w:div>
      </w:divsChild>
    </w:div>
    <w:div w:id="1439178453">
      <w:bodyDiv w:val="1"/>
      <w:marLeft w:val="0"/>
      <w:marRight w:val="0"/>
      <w:marTop w:val="0"/>
      <w:marBottom w:val="0"/>
      <w:divBdr>
        <w:top w:val="none" w:sz="0" w:space="0" w:color="auto"/>
        <w:left w:val="none" w:sz="0" w:space="0" w:color="auto"/>
        <w:bottom w:val="none" w:sz="0" w:space="0" w:color="auto"/>
        <w:right w:val="none" w:sz="0" w:space="0" w:color="auto"/>
      </w:divBdr>
      <w:divsChild>
        <w:div w:id="111557780">
          <w:marLeft w:val="0"/>
          <w:marRight w:val="0"/>
          <w:marTop w:val="0"/>
          <w:marBottom w:val="0"/>
          <w:divBdr>
            <w:top w:val="none" w:sz="0" w:space="0" w:color="auto"/>
            <w:left w:val="none" w:sz="0" w:space="0" w:color="auto"/>
            <w:bottom w:val="none" w:sz="0" w:space="0" w:color="auto"/>
            <w:right w:val="none" w:sz="0" w:space="0" w:color="auto"/>
          </w:divBdr>
        </w:div>
        <w:div w:id="535167085">
          <w:marLeft w:val="0"/>
          <w:marRight w:val="0"/>
          <w:marTop w:val="0"/>
          <w:marBottom w:val="0"/>
          <w:divBdr>
            <w:top w:val="none" w:sz="0" w:space="0" w:color="auto"/>
            <w:left w:val="none" w:sz="0" w:space="0" w:color="auto"/>
            <w:bottom w:val="none" w:sz="0" w:space="0" w:color="auto"/>
            <w:right w:val="none" w:sz="0" w:space="0" w:color="auto"/>
          </w:divBdr>
        </w:div>
        <w:div w:id="1753233324">
          <w:marLeft w:val="0"/>
          <w:marRight w:val="0"/>
          <w:marTop w:val="0"/>
          <w:marBottom w:val="0"/>
          <w:divBdr>
            <w:top w:val="none" w:sz="0" w:space="0" w:color="auto"/>
            <w:left w:val="none" w:sz="0" w:space="0" w:color="auto"/>
            <w:bottom w:val="none" w:sz="0" w:space="0" w:color="auto"/>
            <w:right w:val="none" w:sz="0" w:space="0" w:color="auto"/>
          </w:divBdr>
        </w:div>
      </w:divsChild>
    </w:div>
    <w:div w:id="1454210962">
      <w:bodyDiv w:val="1"/>
      <w:marLeft w:val="0"/>
      <w:marRight w:val="0"/>
      <w:marTop w:val="0"/>
      <w:marBottom w:val="0"/>
      <w:divBdr>
        <w:top w:val="none" w:sz="0" w:space="0" w:color="auto"/>
        <w:left w:val="none" w:sz="0" w:space="0" w:color="auto"/>
        <w:bottom w:val="none" w:sz="0" w:space="0" w:color="auto"/>
        <w:right w:val="none" w:sz="0" w:space="0" w:color="auto"/>
      </w:divBdr>
    </w:div>
    <w:div w:id="1660108996">
      <w:bodyDiv w:val="1"/>
      <w:marLeft w:val="0"/>
      <w:marRight w:val="0"/>
      <w:marTop w:val="0"/>
      <w:marBottom w:val="0"/>
      <w:divBdr>
        <w:top w:val="none" w:sz="0" w:space="0" w:color="auto"/>
        <w:left w:val="none" w:sz="0" w:space="0" w:color="auto"/>
        <w:bottom w:val="none" w:sz="0" w:space="0" w:color="auto"/>
        <w:right w:val="none" w:sz="0" w:space="0" w:color="auto"/>
      </w:divBdr>
      <w:divsChild>
        <w:div w:id="1692797194">
          <w:marLeft w:val="0"/>
          <w:marRight w:val="0"/>
          <w:marTop w:val="0"/>
          <w:marBottom w:val="0"/>
          <w:divBdr>
            <w:top w:val="none" w:sz="0" w:space="0" w:color="auto"/>
            <w:left w:val="none" w:sz="0" w:space="0" w:color="auto"/>
            <w:bottom w:val="none" w:sz="0" w:space="0" w:color="auto"/>
            <w:right w:val="none" w:sz="0" w:space="0" w:color="auto"/>
          </w:divBdr>
        </w:div>
        <w:div w:id="1169829236">
          <w:marLeft w:val="0"/>
          <w:marRight w:val="0"/>
          <w:marTop w:val="0"/>
          <w:marBottom w:val="0"/>
          <w:divBdr>
            <w:top w:val="none" w:sz="0" w:space="0" w:color="auto"/>
            <w:left w:val="none" w:sz="0" w:space="0" w:color="auto"/>
            <w:bottom w:val="none" w:sz="0" w:space="0" w:color="auto"/>
            <w:right w:val="none" w:sz="0" w:space="0" w:color="auto"/>
          </w:divBdr>
        </w:div>
        <w:div w:id="1255936714">
          <w:marLeft w:val="0"/>
          <w:marRight w:val="0"/>
          <w:marTop w:val="0"/>
          <w:marBottom w:val="0"/>
          <w:divBdr>
            <w:top w:val="none" w:sz="0" w:space="0" w:color="auto"/>
            <w:left w:val="none" w:sz="0" w:space="0" w:color="auto"/>
            <w:bottom w:val="none" w:sz="0" w:space="0" w:color="auto"/>
            <w:right w:val="none" w:sz="0" w:space="0" w:color="auto"/>
          </w:divBdr>
        </w:div>
        <w:div w:id="1469514878">
          <w:marLeft w:val="0"/>
          <w:marRight w:val="0"/>
          <w:marTop w:val="0"/>
          <w:marBottom w:val="0"/>
          <w:divBdr>
            <w:top w:val="none" w:sz="0" w:space="0" w:color="auto"/>
            <w:left w:val="none" w:sz="0" w:space="0" w:color="auto"/>
            <w:bottom w:val="none" w:sz="0" w:space="0" w:color="auto"/>
            <w:right w:val="none" w:sz="0" w:space="0" w:color="auto"/>
          </w:divBdr>
        </w:div>
      </w:divsChild>
    </w:div>
    <w:div w:id="1718239085">
      <w:bodyDiv w:val="1"/>
      <w:marLeft w:val="0"/>
      <w:marRight w:val="0"/>
      <w:marTop w:val="0"/>
      <w:marBottom w:val="0"/>
      <w:divBdr>
        <w:top w:val="none" w:sz="0" w:space="0" w:color="auto"/>
        <w:left w:val="none" w:sz="0" w:space="0" w:color="auto"/>
        <w:bottom w:val="none" w:sz="0" w:space="0" w:color="auto"/>
        <w:right w:val="none" w:sz="0" w:space="0" w:color="auto"/>
      </w:divBdr>
    </w:div>
    <w:div w:id="1769496504">
      <w:bodyDiv w:val="1"/>
      <w:marLeft w:val="0"/>
      <w:marRight w:val="0"/>
      <w:marTop w:val="0"/>
      <w:marBottom w:val="0"/>
      <w:divBdr>
        <w:top w:val="none" w:sz="0" w:space="0" w:color="auto"/>
        <w:left w:val="none" w:sz="0" w:space="0" w:color="auto"/>
        <w:bottom w:val="none" w:sz="0" w:space="0" w:color="auto"/>
        <w:right w:val="none" w:sz="0" w:space="0" w:color="auto"/>
      </w:divBdr>
    </w:div>
    <w:div w:id="1833989047">
      <w:bodyDiv w:val="1"/>
      <w:marLeft w:val="0"/>
      <w:marRight w:val="0"/>
      <w:marTop w:val="0"/>
      <w:marBottom w:val="0"/>
      <w:divBdr>
        <w:top w:val="none" w:sz="0" w:space="0" w:color="auto"/>
        <w:left w:val="none" w:sz="0" w:space="0" w:color="auto"/>
        <w:bottom w:val="none" w:sz="0" w:space="0" w:color="auto"/>
        <w:right w:val="none" w:sz="0" w:space="0" w:color="auto"/>
      </w:divBdr>
    </w:div>
    <w:div w:id="1895390199">
      <w:bodyDiv w:val="1"/>
      <w:marLeft w:val="0"/>
      <w:marRight w:val="0"/>
      <w:marTop w:val="0"/>
      <w:marBottom w:val="0"/>
      <w:divBdr>
        <w:top w:val="none" w:sz="0" w:space="0" w:color="auto"/>
        <w:left w:val="none" w:sz="0" w:space="0" w:color="auto"/>
        <w:bottom w:val="none" w:sz="0" w:space="0" w:color="auto"/>
        <w:right w:val="none" w:sz="0" w:space="0" w:color="auto"/>
      </w:divBdr>
    </w:div>
    <w:div w:id="1924029576">
      <w:bodyDiv w:val="1"/>
      <w:marLeft w:val="0"/>
      <w:marRight w:val="0"/>
      <w:marTop w:val="0"/>
      <w:marBottom w:val="0"/>
      <w:divBdr>
        <w:top w:val="none" w:sz="0" w:space="0" w:color="auto"/>
        <w:left w:val="none" w:sz="0" w:space="0" w:color="auto"/>
        <w:bottom w:val="none" w:sz="0" w:space="0" w:color="auto"/>
        <w:right w:val="none" w:sz="0" w:space="0" w:color="auto"/>
      </w:divBdr>
      <w:divsChild>
        <w:div w:id="1466971127">
          <w:marLeft w:val="0"/>
          <w:marRight w:val="0"/>
          <w:marTop w:val="0"/>
          <w:marBottom w:val="0"/>
          <w:divBdr>
            <w:top w:val="none" w:sz="0" w:space="0" w:color="auto"/>
            <w:left w:val="none" w:sz="0" w:space="0" w:color="auto"/>
            <w:bottom w:val="none" w:sz="0" w:space="0" w:color="auto"/>
            <w:right w:val="none" w:sz="0" w:space="0" w:color="auto"/>
          </w:divBdr>
        </w:div>
        <w:div w:id="790981265">
          <w:marLeft w:val="0"/>
          <w:marRight w:val="0"/>
          <w:marTop w:val="0"/>
          <w:marBottom w:val="0"/>
          <w:divBdr>
            <w:top w:val="none" w:sz="0" w:space="0" w:color="auto"/>
            <w:left w:val="none" w:sz="0" w:space="0" w:color="auto"/>
            <w:bottom w:val="none" w:sz="0" w:space="0" w:color="auto"/>
            <w:right w:val="none" w:sz="0" w:space="0" w:color="auto"/>
          </w:divBdr>
        </w:div>
        <w:div w:id="1677153388">
          <w:marLeft w:val="0"/>
          <w:marRight w:val="0"/>
          <w:marTop w:val="0"/>
          <w:marBottom w:val="0"/>
          <w:divBdr>
            <w:top w:val="none" w:sz="0" w:space="0" w:color="auto"/>
            <w:left w:val="none" w:sz="0" w:space="0" w:color="auto"/>
            <w:bottom w:val="none" w:sz="0" w:space="0" w:color="auto"/>
            <w:right w:val="none" w:sz="0" w:space="0" w:color="auto"/>
          </w:divBdr>
        </w:div>
        <w:div w:id="1394622682">
          <w:marLeft w:val="0"/>
          <w:marRight w:val="0"/>
          <w:marTop w:val="0"/>
          <w:marBottom w:val="0"/>
          <w:divBdr>
            <w:top w:val="none" w:sz="0" w:space="0" w:color="auto"/>
            <w:left w:val="none" w:sz="0" w:space="0" w:color="auto"/>
            <w:bottom w:val="none" w:sz="0" w:space="0" w:color="auto"/>
            <w:right w:val="none" w:sz="0" w:space="0" w:color="auto"/>
          </w:divBdr>
        </w:div>
        <w:div w:id="379743679">
          <w:marLeft w:val="0"/>
          <w:marRight w:val="0"/>
          <w:marTop w:val="0"/>
          <w:marBottom w:val="0"/>
          <w:divBdr>
            <w:top w:val="none" w:sz="0" w:space="0" w:color="auto"/>
            <w:left w:val="none" w:sz="0" w:space="0" w:color="auto"/>
            <w:bottom w:val="none" w:sz="0" w:space="0" w:color="auto"/>
            <w:right w:val="none" w:sz="0" w:space="0" w:color="auto"/>
          </w:divBdr>
        </w:div>
      </w:divsChild>
    </w:div>
    <w:div w:id="19330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eonh@gmail.com" TargetMode="External"/><Relationship Id="rId13" Type="http://schemas.openxmlformats.org/officeDocument/2006/relationships/hyperlink" Target="https://adaa.engin.umich.edu/wp-content/uploads/sites/22/2014/09/EER-FAQ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elearningeuropa.info/directory/?page=doc&amp;doc_id=10476&amp;doclng=6"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quintero@itesa.edu.mx" TargetMode="External"/><Relationship Id="rId14" Type="http://schemas.openxmlformats.org/officeDocument/2006/relationships/hyperlink" Target="https://www.eumed.net/rev/atlante/2014/10/problemas-didactica.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edagogia\Desktop\Veamos%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Hoja2!$M$84</c:f>
              <c:strCache>
                <c:ptCount val="1"/>
                <c:pt idx="0">
                  <c:v>Ausencia </c:v>
                </c:pt>
              </c:strCache>
            </c:strRef>
          </c:tx>
          <c:spPr>
            <a:solidFill>
              <a:schemeClr val="accent1"/>
            </a:solidFill>
            <a:ln>
              <a:noFill/>
            </a:ln>
            <a:effectLst/>
          </c:spPr>
          <c:invertIfNegative val="0"/>
          <c:cat>
            <c:strRef>
              <c:f>Hoja2!$L$85:$L$109</c:f>
              <c:strCache>
                <c:ptCount val="25"/>
                <c:pt idx="0">
                  <c:v>Educ. Online</c:v>
                </c:pt>
                <c:pt idx="1">
                  <c:v>Educ. Postgraduada</c:v>
                </c:pt>
                <c:pt idx="2">
                  <c:v>Emprendedurismo</c:v>
                </c:pt>
                <c:pt idx="3">
                  <c:v>Enseñanza Experimental</c:v>
                </c:pt>
                <c:pt idx="4">
                  <c:v>Evaluación de Impacto</c:v>
                </c:pt>
                <c:pt idx="5">
                  <c:v>Formación Integral</c:v>
                </c:pt>
                <c:pt idx="6">
                  <c:v>Habilidades</c:v>
                </c:pt>
                <c:pt idx="7">
                  <c:v>Internacionalización</c:v>
                </c:pt>
                <c:pt idx="8">
                  <c:v>Orientación Vocacional</c:v>
                </c:pt>
                <c:pt idx="9">
                  <c:v>Permanencia - progreso</c:v>
                </c:pt>
                <c:pt idx="10">
                  <c:v>Seguimiento al Graduado</c:v>
                </c:pt>
                <c:pt idx="11">
                  <c:v>Sociofilosóficos</c:v>
                </c:pt>
                <c:pt idx="12">
                  <c:v>Tutoría</c:v>
                </c:pt>
                <c:pt idx="13">
                  <c:v>Educ. en valores</c:v>
                </c:pt>
                <c:pt idx="14">
                  <c:v>Formación humanista</c:v>
                </c:pt>
                <c:pt idx="15">
                  <c:v>Gestión</c:v>
                </c:pt>
                <c:pt idx="16">
                  <c:v>Innovación Educativa</c:v>
                </c:pt>
                <c:pt idx="17">
                  <c:v>Residencia</c:v>
                </c:pt>
                <c:pt idx="18">
                  <c:v>RSU</c:v>
                </c:pt>
                <c:pt idx="19">
                  <c:v>Acreditación</c:v>
                </c:pt>
                <c:pt idx="20">
                  <c:v>Espacio común de formación</c:v>
                </c:pt>
                <c:pt idx="21">
                  <c:v>Trabajo de grado</c:v>
                </c:pt>
                <c:pt idx="22">
                  <c:v>Extensión Universitaria</c:v>
                </c:pt>
                <c:pt idx="23">
                  <c:v>Educ. a Distancia</c:v>
                </c:pt>
                <c:pt idx="24">
                  <c:v>Educ. Dual</c:v>
                </c:pt>
              </c:strCache>
            </c:strRef>
          </c:cat>
          <c:val>
            <c:numRef>
              <c:f>Hoja2!$M$85:$M$109</c:f>
              <c:numCache>
                <c:formatCode>General</c:formatCode>
                <c:ptCount val="25"/>
                <c:pt idx="0">
                  <c:v>1</c:v>
                </c:pt>
                <c:pt idx="1">
                  <c:v>1</c:v>
                </c:pt>
                <c:pt idx="2">
                  <c:v>1</c:v>
                </c:pt>
                <c:pt idx="3">
                  <c:v>1</c:v>
                </c:pt>
                <c:pt idx="4">
                  <c:v>1</c:v>
                </c:pt>
                <c:pt idx="5">
                  <c:v>1</c:v>
                </c:pt>
                <c:pt idx="6">
                  <c:v>1</c:v>
                </c:pt>
                <c:pt idx="7">
                  <c:v>1</c:v>
                </c:pt>
                <c:pt idx="8">
                  <c:v>1</c:v>
                </c:pt>
                <c:pt idx="9">
                  <c:v>1</c:v>
                </c:pt>
                <c:pt idx="10">
                  <c:v>1</c:v>
                </c:pt>
                <c:pt idx="11">
                  <c:v>1</c:v>
                </c:pt>
                <c:pt idx="12">
                  <c:v>1</c:v>
                </c:pt>
                <c:pt idx="13">
                  <c:v>2</c:v>
                </c:pt>
                <c:pt idx="14">
                  <c:v>2</c:v>
                </c:pt>
                <c:pt idx="15">
                  <c:v>2</c:v>
                </c:pt>
                <c:pt idx="16">
                  <c:v>2</c:v>
                </c:pt>
                <c:pt idx="17">
                  <c:v>2</c:v>
                </c:pt>
                <c:pt idx="18">
                  <c:v>2</c:v>
                </c:pt>
                <c:pt idx="19">
                  <c:v>3</c:v>
                </c:pt>
                <c:pt idx="20">
                  <c:v>4</c:v>
                </c:pt>
                <c:pt idx="21">
                  <c:v>4</c:v>
                </c:pt>
                <c:pt idx="22">
                  <c:v>5</c:v>
                </c:pt>
                <c:pt idx="23">
                  <c:v>6</c:v>
                </c:pt>
                <c:pt idx="24">
                  <c:v>7</c:v>
                </c:pt>
              </c:numCache>
            </c:numRef>
          </c:val>
          <c:extLst>
            <c:ext xmlns:c16="http://schemas.microsoft.com/office/drawing/2014/chart" uri="{C3380CC4-5D6E-409C-BE32-E72D297353CC}">
              <c16:uniqueId val="{00000000-5509-4EF9-B40B-390CAF2F587E}"/>
            </c:ext>
          </c:extLst>
        </c:ser>
        <c:ser>
          <c:idx val="1"/>
          <c:order val="1"/>
          <c:tx>
            <c:strRef>
              <c:f>Hoja2!$N$84</c:f>
              <c:strCache>
                <c:ptCount val="1"/>
                <c:pt idx="0">
                  <c:v>Presencia</c:v>
                </c:pt>
              </c:strCache>
            </c:strRef>
          </c:tx>
          <c:spPr>
            <a:solidFill>
              <a:schemeClr val="accent2"/>
            </a:solidFill>
            <a:ln>
              <a:noFill/>
            </a:ln>
            <a:effectLst/>
          </c:spPr>
          <c:invertIfNegative val="0"/>
          <c:cat>
            <c:strRef>
              <c:f>Hoja2!$L$85:$L$109</c:f>
              <c:strCache>
                <c:ptCount val="25"/>
                <c:pt idx="0">
                  <c:v>Educ. Online</c:v>
                </c:pt>
                <c:pt idx="1">
                  <c:v>Educ. Postgraduada</c:v>
                </c:pt>
                <c:pt idx="2">
                  <c:v>Emprendedurismo</c:v>
                </c:pt>
                <c:pt idx="3">
                  <c:v>Enseñanza Experimental</c:v>
                </c:pt>
                <c:pt idx="4">
                  <c:v>Evaluación de Impacto</c:v>
                </c:pt>
                <c:pt idx="5">
                  <c:v>Formación Integral</c:v>
                </c:pt>
                <c:pt idx="6">
                  <c:v>Habilidades</c:v>
                </c:pt>
                <c:pt idx="7">
                  <c:v>Internacionalización</c:v>
                </c:pt>
                <c:pt idx="8">
                  <c:v>Orientación Vocacional</c:v>
                </c:pt>
                <c:pt idx="9">
                  <c:v>Permanencia - progreso</c:v>
                </c:pt>
                <c:pt idx="10">
                  <c:v>Seguimiento al Graduado</c:v>
                </c:pt>
                <c:pt idx="11">
                  <c:v>Sociofilosóficos</c:v>
                </c:pt>
                <c:pt idx="12">
                  <c:v>Tutoría</c:v>
                </c:pt>
                <c:pt idx="13">
                  <c:v>Educ. en valores</c:v>
                </c:pt>
                <c:pt idx="14">
                  <c:v>Formación humanista</c:v>
                </c:pt>
                <c:pt idx="15">
                  <c:v>Gestión</c:v>
                </c:pt>
                <c:pt idx="16">
                  <c:v>Innovación Educativa</c:v>
                </c:pt>
                <c:pt idx="17">
                  <c:v>Residencia</c:v>
                </c:pt>
                <c:pt idx="18">
                  <c:v>RSU</c:v>
                </c:pt>
                <c:pt idx="19">
                  <c:v>Acreditación</c:v>
                </c:pt>
                <c:pt idx="20">
                  <c:v>Espacio común de formación</c:v>
                </c:pt>
                <c:pt idx="21">
                  <c:v>Trabajo de grado</c:v>
                </c:pt>
                <c:pt idx="22">
                  <c:v>Extensión Universitaria</c:v>
                </c:pt>
                <c:pt idx="23">
                  <c:v>Educ. a Distancia</c:v>
                </c:pt>
                <c:pt idx="24">
                  <c:v>Educ. Dual</c:v>
                </c:pt>
              </c:strCache>
            </c:strRef>
          </c:cat>
          <c:val>
            <c:numRef>
              <c:f>Hoja2!$N$85:$N$109</c:f>
              <c:numCache>
                <c:formatCode>General</c:formatCode>
                <c:ptCount val="25"/>
                <c:pt idx="0">
                  <c:v>7</c:v>
                </c:pt>
                <c:pt idx="1">
                  <c:v>7</c:v>
                </c:pt>
                <c:pt idx="2">
                  <c:v>7</c:v>
                </c:pt>
                <c:pt idx="3">
                  <c:v>7</c:v>
                </c:pt>
                <c:pt idx="4">
                  <c:v>7</c:v>
                </c:pt>
                <c:pt idx="5">
                  <c:v>7</c:v>
                </c:pt>
                <c:pt idx="6">
                  <c:v>7</c:v>
                </c:pt>
                <c:pt idx="7">
                  <c:v>7</c:v>
                </c:pt>
                <c:pt idx="8">
                  <c:v>7</c:v>
                </c:pt>
                <c:pt idx="9">
                  <c:v>7</c:v>
                </c:pt>
                <c:pt idx="10">
                  <c:v>7</c:v>
                </c:pt>
                <c:pt idx="11">
                  <c:v>7</c:v>
                </c:pt>
                <c:pt idx="12">
                  <c:v>7</c:v>
                </c:pt>
                <c:pt idx="13">
                  <c:v>6</c:v>
                </c:pt>
                <c:pt idx="14">
                  <c:v>6</c:v>
                </c:pt>
                <c:pt idx="15">
                  <c:v>6</c:v>
                </c:pt>
                <c:pt idx="16">
                  <c:v>6</c:v>
                </c:pt>
                <c:pt idx="17">
                  <c:v>6</c:v>
                </c:pt>
                <c:pt idx="18">
                  <c:v>6</c:v>
                </c:pt>
                <c:pt idx="19">
                  <c:v>5</c:v>
                </c:pt>
                <c:pt idx="20">
                  <c:v>4</c:v>
                </c:pt>
                <c:pt idx="21">
                  <c:v>4</c:v>
                </c:pt>
                <c:pt idx="22">
                  <c:v>3</c:v>
                </c:pt>
                <c:pt idx="23">
                  <c:v>2</c:v>
                </c:pt>
                <c:pt idx="24">
                  <c:v>1</c:v>
                </c:pt>
              </c:numCache>
            </c:numRef>
          </c:val>
          <c:extLst>
            <c:ext xmlns:c16="http://schemas.microsoft.com/office/drawing/2014/chart" uri="{C3380CC4-5D6E-409C-BE32-E72D297353CC}">
              <c16:uniqueId val="{00000001-5509-4EF9-B40B-390CAF2F587E}"/>
            </c:ext>
          </c:extLst>
        </c:ser>
        <c:dLbls>
          <c:showLegendKey val="0"/>
          <c:showVal val="0"/>
          <c:showCatName val="0"/>
          <c:showSerName val="0"/>
          <c:showPercent val="0"/>
          <c:showBubbleSize val="0"/>
        </c:dLbls>
        <c:gapWidth val="150"/>
        <c:overlap val="100"/>
        <c:axId val="672757808"/>
        <c:axId val="672755312"/>
      </c:barChart>
      <c:catAx>
        <c:axId val="67275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2755312"/>
        <c:crosses val="autoZero"/>
        <c:auto val="1"/>
        <c:lblAlgn val="ctr"/>
        <c:lblOffset val="100"/>
        <c:noMultiLvlLbl val="0"/>
      </c:catAx>
      <c:valAx>
        <c:axId val="672755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275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'[Veamos 2.xlsx]Hoja2'!$K$124</c:f>
              <c:strCache>
                <c:ptCount val="1"/>
                <c:pt idx="0">
                  <c:v>CoP - A</c:v>
                </c:pt>
              </c:strCache>
            </c:strRef>
          </c:tx>
          <c:spPr>
            <a:solidFill>
              <a:schemeClr val="accent1"/>
            </a:solidFill>
            <a:ln>
              <a:noFill/>
            </a:ln>
            <a:effectLst/>
            <a:sp3d/>
          </c:spPr>
          <c:invertIfNegative val="0"/>
          <c:cat>
            <c:strRef>
              <c:f>'[Veamos 2.xlsx]Hoja2'!$J$125:$J$149</c:f>
              <c:strCache>
                <c:ptCount val="25"/>
                <c:pt idx="0">
                  <c:v>Acreditación</c:v>
                </c:pt>
                <c:pt idx="1">
                  <c:v>Educ. a Distancia</c:v>
                </c:pt>
                <c:pt idx="2">
                  <c:v>Educ. Dual</c:v>
                </c:pt>
                <c:pt idx="3">
                  <c:v>Educ. en valores</c:v>
                </c:pt>
                <c:pt idx="4">
                  <c:v>Educ. Online</c:v>
                </c:pt>
                <c:pt idx="5">
                  <c:v>Educ. Postgraduada</c:v>
                </c:pt>
                <c:pt idx="6">
                  <c:v>Emprendimiento</c:v>
                </c:pt>
                <c:pt idx="7">
                  <c:v>Enseñanza Experimental</c:v>
                </c:pt>
                <c:pt idx="8">
                  <c:v>Espacio común de formación</c:v>
                </c:pt>
                <c:pt idx="9">
                  <c:v>Evaluación de Impacto</c:v>
                </c:pt>
                <c:pt idx="10">
                  <c:v>Extensión Universitaria</c:v>
                </c:pt>
                <c:pt idx="11">
                  <c:v>Formación humanista</c:v>
                </c:pt>
                <c:pt idx="12">
                  <c:v>Formación Integral</c:v>
                </c:pt>
                <c:pt idx="13">
                  <c:v>Gestión</c:v>
                </c:pt>
                <c:pt idx="14">
                  <c:v>Habilidades</c:v>
                </c:pt>
                <c:pt idx="15">
                  <c:v>Innovación Educativa</c:v>
                </c:pt>
                <c:pt idx="16">
                  <c:v>Internacionalización</c:v>
                </c:pt>
                <c:pt idx="17">
                  <c:v>Orientación Vocacional</c:v>
                </c:pt>
                <c:pt idx="18">
                  <c:v>Permanencia - progreso</c:v>
                </c:pt>
                <c:pt idx="19">
                  <c:v>Residencia</c:v>
                </c:pt>
                <c:pt idx="20">
                  <c:v>RSU</c:v>
                </c:pt>
                <c:pt idx="21">
                  <c:v>Seguimiento al Graduado</c:v>
                </c:pt>
                <c:pt idx="22">
                  <c:v>Sociofilosóficos</c:v>
                </c:pt>
                <c:pt idx="23">
                  <c:v>Trabajo de grado</c:v>
                </c:pt>
                <c:pt idx="24">
                  <c:v>Tutoría</c:v>
                </c:pt>
              </c:strCache>
            </c:strRef>
          </c:cat>
          <c:val>
            <c:numRef>
              <c:f>'[Veamos 2.xlsx]Hoja2'!$K$125:$K$149</c:f>
              <c:numCache>
                <c:formatCode>General</c:formatCode>
                <c:ptCount val="25"/>
                <c:pt idx="0">
                  <c:v>6.7183462532299745E-2</c:v>
                </c:pt>
                <c:pt idx="1">
                  <c:v>2.5839793281653748E-3</c:v>
                </c:pt>
                <c:pt idx="2">
                  <c:v>2.1963824289405683E-2</c:v>
                </c:pt>
                <c:pt idx="3">
                  <c:v>1.0335917312661499E-2</c:v>
                </c:pt>
                <c:pt idx="4">
                  <c:v>1.8087855297157621E-2</c:v>
                </c:pt>
                <c:pt idx="5">
                  <c:v>1.1627906976744186E-2</c:v>
                </c:pt>
                <c:pt idx="6">
                  <c:v>1.5503875968992248E-2</c:v>
                </c:pt>
                <c:pt idx="7">
                  <c:v>9.0439276485788107E-3</c:v>
                </c:pt>
                <c:pt idx="8">
                  <c:v>5.1679586563307496E-3</c:v>
                </c:pt>
                <c:pt idx="9">
                  <c:v>6.4599483204134363E-3</c:v>
                </c:pt>
                <c:pt idx="10">
                  <c:v>0</c:v>
                </c:pt>
                <c:pt idx="11">
                  <c:v>3.875968992248062E-3</c:v>
                </c:pt>
                <c:pt idx="12">
                  <c:v>1.937984496124031E-2</c:v>
                </c:pt>
                <c:pt idx="13">
                  <c:v>2.454780361757106E-2</c:v>
                </c:pt>
                <c:pt idx="14">
                  <c:v>1.1627906976744186E-2</c:v>
                </c:pt>
                <c:pt idx="15">
                  <c:v>1.2919896640826873E-2</c:v>
                </c:pt>
                <c:pt idx="16">
                  <c:v>2.5839793281653745E-2</c:v>
                </c:pt>
                <c:pt idx="17">
                  <c:v>3.875968992248062E-3</c:v>
                </c:pt>
                <c:pt idx="18">
                  <c:v>2.5839793281653748E-3</c:v>
                </c:pt>
                <c:pt idx="19">
                  <c:v>4.1343669250645997E-2</c:v>
                </c:pt>
                <c:pt idx="20">
                  <c:v>1.8087855297157621E-2</c:v>
                </c:pt>
                <c:pt idx="21">
                  <c:v>2.7131782945736434E-2</c:v>
                </c:pt>
                <c:pt idx="22">
                  <c:v>1.2919896640826873E-2</c:v>
                </c:pt>
                <c:pt idx="23">
                  <c:v>2.5839793281653748E-3</c:v>
                </c:pt>
                <c:pt idx="24">
                  <c:v>1.6795865633074936E-2</c:v>
                </c:pt>
              </c:numCache>
            </c:numRef>
          </c:val>
          <c:extLst>
            <c:ext xmlns:c16="http://schemas.microsoft.com/office/drawing/2014/chart" uri="{C3380CC4-5D6E-409C-BE32-E72D297353CC}">
              <c16:uniqueId val="{00000000-CDF6-4D8E-AE67-EF9E7516728B}"/>
            </c:ext>
          </c:extLst>
        </c:ser>
        <c:ser>
          <c:idx val="1"/>
          <c:order val="1"/>
          <c:tx>
            <c:strRef>
              <c:f>'[Veamos 2.xlsx]Hoja2'!$L$124</c:f>
              <c:strCache>
                <c:ptCount val="1"/>
                <c:pt idx="0">
                  <c:v>CoP - B</c:v>
                </c:pt>
              </c:strCache>
            </c:strRef>
          </c:tx>
          <c:spPr>
            <a:solidFill>
              <a:schemeClr val="accent2"/>
            </a:solidFill>
            <a:ln>
              <a:noFill/>
            </a:ln>
            <a:effectLst/>
            <a:sp3d/>
          </c:spPr>
          <c:invertIfNegative val="0"/>
          <c:cat>
            <c:strRef>
              <c:f>'[Veamos 2.xlsx]Hoja2'!$J$125:$J$149</c:f>
              <c:strCache>
                <c:ptCount val="25"/>
                <c:pt idx="0">
                  <c:v>Acreditación</c:v>
                </c:pt>
                <c:pt idx="1">
                  <c:v>Educ. a Distancia</c:v>
                </c:pt>
                <c:pt idx="2">
                  <c:v>Educ. Dual</c:v>
                </c:pt>
                <c:pt idx="3">
                  <c:v>Educ. en valores</c:v>
                </c:pt>
                <c:pt idx="4">
                  <c:v>Educ. Online</c:v>
                </c:pt>
                <c:pt idx="5">
                  <c:v>Educ. Postgraduada</c:v>
                </c:pt>
                <c:pt idx="6">
                  <c:v>Emprendimiento</c:v>
                </c:pt>
                <c:pt idx="7">
                  <c:v>Enseñanza Experimental</c:v>
                </c:pt>
                <c:pt idx="8">
                  <c:v>Espacio común de formación</c:v>
                </c:pt>
                <c:pt idx="9">
                  <c:v>Evaluación de Impacto</c:v>
                </c:pt>
                <c:pt idx="10">
                  <c:v>Extensión Universitaria</c:v>
                </c:pt>
                <c:pt idx="11">
                  <c:v>Formación humanista</c:v>
                </c:pt>
                <c:pt idx="12">
                  <c:v>Formación Integral</c:v>
                </c:pt>
                <c:pt idx="13">
                  <c:v>Gestión</c:v>
                </c:pt>
                <c:pt idx="14">
                  <c:v>Habilidades</c:v>
                </c:pt>
                <c:pt idx="15">
                  <c:v>Innovación Educativa</c:v>
                </c:pt>
                <c:pt idx="16">
                  <c:v>Internacionalización</c:v>
                </c:pt>
                <c:pt idx="17">
                  <c:v>Orientación Vocacional</c:v>
                </c:pt>
                <c:pt idx="18">
                  <c:v>Permanencia - progreso</c:v>
                </c:pt>
                <c:pt idx="19">
                  <c:v>Residencia</c:v>
                </c:pt>
                <c:pt idx="20">
                  <c:v>RSU</c:v>
                </c:pt>
                <c:pt idx="21">
                  <c:v>Seguimiento al Graduado</c:v>
                </c:pt>
                <c:pt idx="22">
                  <c:v>Sociofilosóficos</c:v>
                </c:pt>
                <c:pt idx="23">
                  <c:v>Trabajo de grado</c:v>
                </c:pt>
                <c:pt idx="24">
                  <c:v>Tutoría</c:v>
                </c:pt>
              </c:strCache>
            </c:strRef>
          </c:cat>
          <c:val>
            <c:numRef>
              <c:f>'[Veamos 2.xlsx]Hoja2'!$L$125:$L$149</c:f>
              <c:numCache>
                <c:formatCode>General</c:formatCode>
                <c:ptCount val="25"/>
                <c:pt idx="0">
                  <c:v>3.875968992248062E-3</c:v>
                </c:pt>
                <c:pt idx="1">
                  <c:v>1.2919896640826874E-3</c:v>
                </c:pt>
                <c:pt idx="2">
                  <c:v>0</c:v>
                </c:pt>
                <c:pt idx="3">
                  <c:v>1.2919896640826874E-3</c:v>
                </c:pt>
                <c:pt idx="4">
                  <c:v>2.5839793281653748E-3</c:v>
                </c:pt>
                <c:pt idx="5">
                  <c:v>0</c:v>
                </c:pt>
                <c:pt idx="6">
                  <c:v>1.2919896640826874E-3</c:v>
                </c:pt>
                <c:pt idx="7">
                  <c:v>5.1679586563307496E-3</c:v>
                </c:pt>
                <c:pt idx="8">
                  <c:v>1.2919896640826874E-3</c:v>
                </c:pt>
                <c:pt idx="9">
                  <c:v>0</c:v>
                </c:pt>
                <c:pt idx="10">
                  <c:v>0</c:v>
                </c:pt>
                <c:pt idx="11">
                  <c:v>0</c:v>
                </c:pt>
                <c:pt idx="12">
                  <c:v>5.1679586563307496E-3</c:v>
                </c:pt>
                <c:pt idx="13">
                  <c:v>2.5839793281653748E-3</c:v>
                </c:pt>
                <c:pt idx="14">
                  <c:v>3.875968992248062E-3</c:v>
                </c:pt>
                <c:pt idx="15">
                  <c:v>1.2919896640826874E-3</c:v>
                </c:pt>
                <c:pt idx="16">
                  <c:v>0</c:v>
                </c:pt>
                <c:pt idx="17">
                  <c:v>1.2919896640826874E-3</c:v>
                </c:pt>
                <c:pt idx="18">
                  <c:v>2.5839793281653748E-3</c:v>
                </c:pt>
                <c:pt idx="19">
                  <c:v>1.2919896640826874E-3</c:v>
                </c:pt>
                <c:pt idx="20">
                  <c:v>3.875968992248062E-3</c:v>
                </c:pt>
                <c:pt idx="21">
                  <c:v>2.5839793281653748E-3</c:v>
                </c:pt>
                <c:pt idx="22">
                  <c:v>0</c:v>
                </c:pt>
                <c:pt idx="23">
                  <c:v>2.5839793281653748E-3</c:v>
                </c:pt>
                <c:pt idx="24">
                  <c:v>1.2919896640826874E-3</c:v>
                </c:pt>
              </c:numCache>
            </c:numRef>
          </c:val>
          <c:extLst>
            <c:ext xmlns:c16="http://schemas.microsoft.com/office/drawing/2014/chart" uri="{C3380CC4-5D6E-409C-BE32-E72D297353CC}">
              <c16:uniqueId val="{00000001-CDF6-4D8E-AE67-EF9E7516728B}"/>
            </c:ext>
          </c:extLst>
        </c:ser>
        <c:ser>
          <c:idx val="2"/>
          <c:order val="2"/>
          <c:tx>
            <c:strRef>
              <c:f>'[Veamos 2.xlsx]Hoja2'!$M$124</c:f>
              <c:strCache>
                <c:ptCount val="1"/>
                <c:pt idx="0">
                  <c:v>CoP - C</c:v>
                </c:pt>
              </c:strCache>
            </c:strRef>
          </c:tx>
          <c:spPr>
            <a:solidFill>
              <a:schemeClr val="accent3"/>
            </a:solidFill>
            <a:ln>
              <a:noFill/>
            </a:ln>
            <a:effectLst/>
            <a:sp3d/>
          </c:spPr>
          <c:invertIfNegative val="0"/>
          <c:cat>
            <c:strRef>
              <c:f>'[Veamos 2.xlsx]Hoja2'!$J$125:$J$149</c:f>
              <c:strCache>
                <c:ptCount val="25"/>
                <c:pt idx="0">
                  <c:v>Acreditación</c:v>
                </c:pt>
                <c:pt idx="1">
                  <c:v>Educ. a Distancia</c:v>
                </c:pt>
                <c:pt idx="2">
                  <c:v>Educ. Dual</c:v>
                </c:pt>
                <c:pt idx="3">
                  <c:v>Educ. en valores</c:v>
                </c:pt>
                <c:pt idx="4">
                  <c:v>Educ. Online</c:v>
                </c:pt>
                <c:pt idx="5">
                  <c:v>Educ. Postgraduada</c:v>
                </c:pt>
                <c:pt idx="6">
                  <c:v>Emprendimiento</c:v>
                </c:pt>
                <c:pt idx="7">
                  <c:v>Enseñanza Experimental</c:v>
                </c:pt>
                <c:pt idx="8">
                  <c:v>Espacio común de formación</c:v>
                </c:pt>
                <c:pt idx="9">
                  <c:v>Evaluación de Impacto</c:v>
                </c:pt>
                <c:pt idx="10">
                  <c:v>Extensión Universitaria</c:v>
                </c:pt>
                <c:pt idx="11">
                  <c:v>Formación humanista</c:v>
                </c:pt>
                <c:pt idx="12">
                  <c:v>Formación Integral</c:v>
                </c:pt>
                <c:pt idx="13">
                  <c:v>Gestión</c:v>
                </c:pt>
                <c:pt idx="14">
                  <c:v>Habilidades</c:v>
                </c:pt>
                <c:pt idx="15">
                  <c:v>Innovación Educativa</c:v>
                </c:pt>
                <c:pt idx="16">
                  <c:v>Internacionalización</c:v>
                </c:pt>
                <c:pt idx="17">
                  <c:v>Orientación Vocacional</c:v>
                </c:pt>
                <c:pt idx="18">
                  <c:v>Permanencia - progreso</c:v>
                </c:pt>
                <c:pt idx="19">
                  <c:v>Residencia</c:v>
                </c:pt>
                <c:pt idx="20">
                  <c:v>RSU</c:v>
                </c:pt>
                <c:pt idx="21">
                  <c:v>Seguimiento al Graduado</c:v>
                </c:pt>
                <c:pt idx="22">
                  <c:v>Sociofilosóficos</c:v>
                </c:pt>
                <c:pt idx="23">
                  <c:v>Trabajo de grado</c:v>
                </c:pt>
                <c:pt idx="24">
                  <c:v>Tutoría</c:v>
                </c:pt>
              </c:strCache>
            </c:strRef>
          </c:cat>
          <c:val>
            <c:numRef>
              <c:f>'[Veamos 2.xlsx]Hoja2'!$M$125:$M$149</c:f>
              <c:numCache>
                <c:formatCode>General</c:formatCode>
                <c:ptCount val="25"/>
                <c:pt idx="0">
                  <c:v>0</c:v>
                </c:pt>
                <c:pt idx="1">
                  <c:v>0</c:v>
                </c:pt>
                <c:pt idx="2">
                  <c:v>0</c:v>
                </c:pt>
                <c:pt idx="3">
                  <c:v>0</c:v>
                </c:pt>
                <c:pt idx="4">
                  <c:v>2.5839793281653748E-3</c:v>
                </c:pt>
                <c:pt idx="5">
                  <c:v>1.2919896640826874E-3</c:v>
                </c:pt>
                <c:pt idx="6">
                  <c:v>0</c:v>
                </c:pt>
                <c:pt idx="7">
                  <c:v>1.2919896640826874E-3</c:v>
                </c:pt>
                <c:pt idx="8">
                  <c:v>0</c:v>
                </c:pt>
                <c:pt idx="9">
                  <c:v>3.875968992248062E-3</c:v>
                </c:pt>
                <c:pt idx="10">
                  <c:v>5.1679586563307496E-3</c:v>
                </c:pt>
                <c:pt idx="11">
                  <c:v>1.2919896640826874E-3</c:v>
                </c:pt>
                <c:pt idx="12">
                  <c:v>1.2919896640826874E-3</c:v>
                </c:pt>
                <c:pt idx="13">
                  <c:v>2.5839793281653748E-3</c:v>
                </c:pt>
                <c:pt idx="14">
                  <c:v>0</c:v>
                </c:pt>
                <c:pt idx="15">
                  <c:v>0</c:v>
                </c:pt>
                <c:pt idx="16">
                  <c:v>2.5839793281653748E-3</c:v>
                </c:pt>
                <c:pt idx="17">
                  <c:v>0</c:v>
                </c:pt>
                <c:pt idx="18">
                  <c:v>0</c:v>
                </c:pt>
                <c:pt idx="19">
                  <c:v>1.2919896640826874E-3</c:v>
                </c:pt>
                <c:pt idx="20">
                  <c:v>0</c:v>
                </c:pt>
                <c:pt idx="21">
                  <c:v>3.875968992248062E-3</c:v>
                </c:pt>
                <c:pt idx="22">
                  <c:v>1.2919896640826874E-3</c:v>
                </c:pt>
                <c:pt idx="23">
                  <c:v>0</c:v>
                </c:pt>
                <c:pt idx="24">
                  <c:v>2.5839793281653748E-3</c:v>
                </c:pt>
              </c:numCache>
            </c:numRef>
          </c:val>
          <c:extLst>
            <c:ext xmlns:c16="http://schemas.microsoft.com/office/drawing/2014/chart" uri="{C3380CC4-5D6E-409C-BE32-E72D297353CC}">
              <c16:uniqueId val="{00000002-CDF6-4D8E-AE67-EF9E7516728B}"/>
            </c:ext>
          </c:extLst>
        </c:ser>
        <c:ser>
          <c:idx val="3"/>
          <c:order val="3"/>
          <c:tx>
            <c:strRef>
              <c:f>'[Veamos 2.xlsx]Hoja2'!$N$124</c:f>
              <c:strCache>
                <c:ptCount val="1"/>
                <c:pt idx="0">
                  <c:v>CoP - D</c:v>
                </c:pt>
              </c:strCache>
            </c:strRef>
          </c:tx>
          <c:spPr>
            <a:solidFill>
              <a:schemeClr val="accent4"/>
            </a:solidFill>
            <a:ln>
              <a:noFill/>
            </a:ln>
            <a:effectLst/>
            <a:sp3d/>
          </c:spPr>
          <c:invertIfNegative val="0"/>
          <c:cat>
            <c:strRef>
              <c:f>'[Veamos 2.xlsx]Hoja2'!$J$125:$J$149</c:f>
              <c:strCache>
                <c:ptCount val="25"/>
                <c:pt idx="0">
                  <c:v>Acreditación</c:v>
                </c:pt>
                <c:pt idx="1">
                  <c:v>Educ. a Distancia</c:v>
                </c:pt>
                <c:pt idx="2">
                  <c:v>Educ. Dual</c:v>
                </c:pt>
                <c:pt idx="3">
                  <c:v>Educ. en valores</c:v>
                </c:pt>
                <c:pt idx="4">
                  <c:v>Educ. Online</c:v>
                </c:pt>
                <c:pt idx="5">
                  <c:v>Educ. Postgraduada</c:v>
                </c:pt>
                <c:pt idx="6">
                  <c:v>Emprendimiento</c:v>
                </c:pt>
                <c:pt idx="7">
                  <c:v>Enseñanza Experimental</c:v>
                </c:pt>
                <c:pt idx="8">
                  <c:v>Espacio común de formación</c:v>
                </c:pt>
                <c:pt idx="9">
                  <c:v>Evaluación de Impacto</c:v>
                </c:pt>
                <c:pt idx="10">
                  <c:v>Extensión Universitaria</c:v>
                </c:pt>
                <c:pt idx="11">
                  <c:v>Formación humanista</c:v>
                </c:pt>
                <c:pt idx="12">
                  <c:v>Formación Integral</c:v>
                </c:pt>
                <c:pt idx="13">
                  <c:v>Gestión</c:v>
                </c:pt>
                <c:pt idx="14">
                  <c:v>Habilidades</c:v>
                </c:pt>
                <c:pt idx="15">
                  <c:v>Innovación Educativa</c:v>
                </c:pt>
                <c:pt idx="16">
                  <c:v>Internacionalización</c:v>
                </c:pt>
                <c:pt idx="17">
                  <c:v>Orientación Vocacional</c:v>
                </c:pt>
                <c:pt idx="18">
                  <c:v>Permanencia - progreso</c:v>
                </c:pt>
                <c:pt idx="19">
                  <c:v>Residencia</c:v>
                </c:pt>
                <c:pt idx="20">
                  <c:v>RSU</c:v>
                </c:pt>
                <c:pt idx="21">
                  <c:v>Seguimiento al Graduado</c:v>
                </c:pt>
                <c:pt idx="22">
                  <c:v>Sociofilosóficos</c:v>
                </c:pt>
                <c:pt idx="23">
                  <c:v>Trabajo de grado</c:v>
                </c:pt>
                <c:pt idx="24">
                  <c:v>Tutoría</c:v>
                </c:pt>
              </c:strCache>
            </c:strRef>
          </c:cat>
          <c:val>
            <c:numRef>
              <c:f>'[Veamos 2.xlsx]Hoja2'!$N$125:$N$149</c:f>
              <c:numCache>
                <c:formatCode>General</c:formatCode>
                <c:ptCount val="25"/>
                <c:pt idx="0">
                  <c:v>0</c:v>
                </c:pt>
                <c:pt idx="1">
                  <c:v>0</c:v>
                </c:pt>
                <c:pt idx="2">
                  <c:v>0</c:v>
                </c:pt>
                <c:pt idx="3">
                  <c:v>1.0335917312661499E-2</c:v>
                </c:pt>
                <c:pt idx="4">
                  <c:v>3.875968992248062E-3</c:v>
                </c:pt>
                <c:pt idx="5">
                  <c:v>2.5839793281653748E-3</c:v>
                </c:pt>
                <c:pt idx="6">
                  <c:v>1.2919896640826874E-3</c:v>
                </c:pt>
                <c:pt idx="7">
                  <c:v>3.875968992248062E-3</c:v>
                </c:pt>
                <c:pt idx="8">
                  <c:v>0</c:v>
                </c:pt>
                <c:pt idx="9">
                  <c:v>5.1679586563307496E-3</c:v>
                </c:pt>
                <c:pt idx="10">
                  <c:v>0</c:v>
                </c:pt>
                <c:pt idx="11">
                  <c:v>3.875968992248062E-3</c:v>
                </c:pt>
                <c:pt idx="12">
                  <c:v>1.2919896640826874E-3</c:v>
                </c:pt>
                <c:pt idx="13">
                  <c:v>3.875968992248062E-3</c:v>
                </c:pt>
                <c:pt idx="14">
                  <c:v>2.5839793281653748E-3</c:v>
                </c:pt>
                <c:pt idx="15">
                  <c:v>1.2919896640826874E-3</c:v>
                </c:pt>
                <c:pt idx="16">
                  <c:v>1.2919896640826874E-3</c:v>
                </c:pt>
                <c:pt idx="17">
                  <c:v>2.5839793281653748E-3</c:v>
                </c:pt>
                <c:pt idx="18">
                  <c:v>2.5839793281653748E-3</c:v>
                </c:pt>
                <c:pt idx="19">
                  <c:v>0</c:v>
                </c:pt>
                <c:pt idx="20">
                  <c:v>7.7519379844961239E-3</c:v>
                </c:pt>
                <c:pt idx="21">
                  <c:v>2.5839793281653748E-3</c:v>
                </c:pt>
                <c:pt idx="22">
                  <c:v>7.7519379844961239E-3</c:v>
                </c:pt>
                <c:pt idx="23">
                  <c:v>0</c:v>
                </c:pt>
                <c:pt idx="24">
                  <c:v>1.2919896640826874E-3</c:v>
                </c:pt>
              </c:numCache>
            </c:numRef>
          </c:val>
          <c:extLst>
            <c:ext xmlns:c16="http://schemas.microsoft.com/office/drawing/2014/chart" uri="{C3380CC4-5D6E-409C-BE32-E72D297353CC}">
              <c16:uniqueId val="{00000003-CDF6-4D8E-AE67-EF9E7516728B}"/>
            </c:ext>
          </c:extLst>
        </c:ser>
        <c:ser>
          <c:idx val="4"/>
          <c:order val="4"/>
          <c:tx>
            <c:strRef>
              <c:f>'[Veamos 2.xlsx]Hoja2'!$O$124</c:f>
              <c:strCache>
                <c:ptCount val="1"/>
                <c:pt idx="0">
                  <c:v>CoP - E</c:v>
                </c:pt>
              </c:strCache>
            </c:strRef>
          </c:tx>
          <c:spPr>
            <a:solidFill>
              <a:schemeClr val="accent5"/>
            </a:solidFill>
            <a:ln>
              <a:noFill/>
            </a:ln>
            <a:effectLst/>
            <a:sp3d/>
          </c:spPr>
          <c:invertIfNegative val="0"/>
          <c:cat>
            <c:strRef>
              <c:f>'[Veamos 2.xlsx]Hoja2'!$J$125:$J$149</c:f>
              <c:strCache>
                <c:ptCount val="25"/>
                <c:pt idx="0">
                  <c:v>Acreditación</c:v>
                </c:pt>
                <c:pt idx="1">
                  <c:v>Educ. a Distancia</c:v>
                </c:pt>
                <c:pt idx="2">
                  <c:v>Educ. Dual</c:v>
                </c:pt>
                <c:pt idx="3">
                  <c:v>Educ. en valores</c:v>
                </c:pt>
                <c:pt idx="4">
                  <c:v>Educ. Online</c:v>
                </c:pt>
                <c:pt idx="5">
                  <c:v>Educ. Postgraduada</c:v>
                </c:pt>
                <c:pt idx="6">
                  <c:v>Emprendimiento</c:v>
                </c:pt>
                <c:pt idx="7">
                  <c:v>Enseñanza Experimental</c:v>
                </c:pt>
                <c:pt idx="8">
                  <c:v>Espacio común de formación</c:v>
                </c:pt>
                <c:pt idx="9">
                  <c:v>Evaluación de Impacto</c:v>
                </c:pt>
                <c:pt idx="10">
                  <c:v>Extensión Universitaria</c:v>
                </c:pt>
                <c:pt idx="11">
                  <c:v>Formación humanista</c:v>
                </c:pt>
                <c:pt idx="12">
                  <c:v>Formación Integral</c:v>
                </c:pt>
                <c:pt idx="13">
                  <c:v>Gestión</c:v>
                </c:pt>
                <c:pt idx="14">
                  <c:v>Habilidades</c:v>
                </c:pt>
                <c:pt idx="15">
                  <c:v>Innovación Educativa</c:v>
                </c:pt>
                <c:pt idx="16">
                  <c:v>Internacionalización</c:v>
                </c:pt>
                <c:pt idx="17">
                  <c:v>Orientación Vocacional</c:v>
                </c:pt>
                <c:pt idx="18">
                  <c:v>Permanencia - progreso</c:v>
                </c:pt>
                <c:pt idx="19">
                  <c:v>Residencia</c:v>
                </c:pt>
                <c:pt idx="20">
                  <c:v>RSU</c:v>
                </c:pt>
                <c:pt idx="21">
                  <c:v>Seguimiento al Graduado</c:v>
                </c:pt>
                <c:pt idx="22">
                  <c:v>Sociofilosóficos</c:v>
                </c:pt>
                <c:pt idx="23">
                  <c:v>Trabajo de grado</c:v>
                </c:pt>
                <c:pt idx="24">
                  <c:v>Tutoría</c:v>
                </c:pt>
              </c:strCache>
            </c:strRef>
          </c:cat>
          <c:val>
            <c:numRef>
              <c:f>'[Veamos 2.xlsx]Hoja2'!$O$125:$O$149</c:f>
              <c:numCache>
                <c:formatCode>General</c:formatCode>
                <c:ptCount val="25"/>
                <c:pt idx="0">
                  <c:v>1.2919896640826874E-3</c:v>
                </c:pt>
                <c:pt idx="1">
                  <c:v>0</c:v>
                </c:pt>
                <c:pt idx="2">
                  <c:v>0</c:v>
                </c:pt>
                <c:pt idx="3">
                  <c:v>5.1679586563307496E-3</c:v>
                </c:pt>
                <c:pt idx="4">
                  <c:v>7.7519379844961239E-3</c:v>
                </c:pt>
                <c:pt idx="5">
                  <c:v>5.1679586563307496E-3</c:v>
                </c:pt>
                <c:pt idx="6">
                  <c:v>1.2919896640826874E-3</c:v>
                </c:pt>
                <c:pt idx="7">
                  <c:v>3.875968992248062E-3</c:v>
                </c:pt>
                <c:pt idx="8">
                  <c:v>2.5839793281653748E-3</c:v>
                </c:pt>
                <c:pt idx="9">
                  <c:v>3.875968992248062E-3</c:v>
                </c:pt>
                <c:pt idx="10">
                  <c:v>1.2919896640826874E-3</c:v>
                </c:pt>
                <c:pt idx="11">
                  <c:v>2.5839793281653748E-3</c:v>
                </c:pt>
                <c:pt idx="12">
                  <c:v>2.5839793281653748E-3</c:v>
                </c:pt>
                <c:pt idx="13">
                  <c:v>0</c:v>
                </c:pt>
                <c:pt idx="14">
                  <c:v>6.4599483204134363E-3</c:v>
                </c:pt>
                <c:pt idx="15">
                  <c:v>1.0335917312661499E-2</c:v>
                </c:pt>
                <c:pt idx="16">
                  <c:v>2.5839793281653748E-3</c:v>
                </c:pt>
                <c:pt idx="17">
                  <c:v>2.5839793281653748E-3</c:v>
                </c:pt>
                <c:pt idx="18">
                  <c:v>5.1679586563307496E-3</c:v>
                </c:pt>
                <c:pt idx="19">
                  <c:v>1.2919896640826874E-3</c:v>
                </c:pt>
                <c:pt idx="20">
                  <c:v>6.4599483204134363E-3</c:v>
                </c:pt>
                <c:pt idx="21">
                  <c:v>0</c:v>
                </c:pt>
                <c:pt idx="22">
                  <c:v>3.2299741602067181E-2</c:v>
                </c:pt>
                <c:pt idx="23">
                  <c:v>0</c:v>
                </c:pt>
                <c:pt idx="24">
                  <c:v>0</c:v>
                </c:pt>
              </c:numCache>
            </c:numRef>
          </c:val>
          <c:extLst>
            <c:ext xmlns:c16="http://schemas.microsoft.com/office/drawing/2014/chart" uri="{C3380CC4-5D6E-409C-BE32-E72D297353CC}">
              <c16:uniqueId val="{00000004-CDF6-4D8E-AE67-EF9E7516728B}"/>
            </c:ext>
          </c:extLst>
        </c:ser>
        <c:ser>
          <c:idx val="5"/>
          <c:order val="5"/>
          <c:tx>
            <c:strRef>
              <c:f>'[Veamos 2.xlsx]Hoja2'!$P$124</c:f>
              <c:strCache>
                <c:ptCount val="1"/>
                <c:pt idx="0">
                  <c:v>CoP - F</c:v>
                </c:pt>
              </c:strCache>
            </c:strRef>
          </c:tx>
          <c:spPr>
            <a:solidFill>
              <a:schemeClr val="accent6"/>
            </a:solidFill>
            <a:ln>
              <a:noFill/>
            </a:ln>
            <a:effectLst/>
            <a:sp3d/>
          </c:spPr>
          <c:invertIfNegative val="0"/>
          <c:cat>
            <c:strRef>
              <c:f>'[Veamos 2.xlsx]Hoja2'!$J$125:$J$149</c:f>
              <c:strCache>
                <c:ptCount val="25"/>
                <c:pt idx="0">
                  <c:v>Acreditación</c:v>
                </c:pt>
                <c:pt idx="1">
                  <c:v>Educ. a Distancia</c:v>
                </c:pt>
                <c:pt idx="2">
                  <c:v>Educ. Dual</c:v>
                </c:pt>
                <c:pt idx="3">
                  <c:v>Educ. en valores</c:v>
                </c:pt>
                <c:pt idx="4">
                  <c:v>Educ. Online</c:v>
                </c:pt>
                <c:pt idx="5">
                  <c:v>Educ. Postgraduada</c:v>
                </c:pt>
                <c:pt idx="6">
                  <c:v>Emprendimiento</c:v>
                </c:pt>
                <c:pt idx="7">
                  <c:v>Enseñanza Experimental</c:v>
                </c:pt>
                <c:pt idx="8">
                  <c:v>Espacio común de formación</c:v>
                </c:pt>
                <c:pt idx="9">
                  <c:v>Evaluación de Impacto</c:v>
                </c:pt>
                <c:pt idx="10">
                  <c:v>Extensión Universitaria</c:v>
                </c:pt>
                <c:pt idx="11">
                  <c:v>Formación humanista</c:v>
                </c:pt>
                <c:pt idx="12">
                  <c:v>Formación Integral</c:v>
                </c:pt>
                <c:pt idx="13">
                  <c:v>Gestión</c:v>
                </c:pt>
                <c:pt idx="14">
                  <c:v>Habilidades</c:v>
                </c:pt>
                <c:pt idx="15">
                  <c:v>Innovación Educativa</c:v>
                </c:pt>
                <c:pt idx="16">
                  <c:v>Internacionalización</c:v>
                </c:pt>
                <c:pt idx="17">
                  <c:v>Orientación Vocacional</c:v>
                </c:pt>
                <c:pt idx="18">
                  <c:v>Permanencia - progreso</c:v>
                </c:pt>
                <c:pt idx="19">
                  <c:v>Residencia</c:v>
                </c:pt>
                <c:pt idx="20">
                  <c:v>RSU</c:v>
                </c:pt>
                <c:pt idx="21">
                  <c:v>Seguimiento al Graduado</c:v>
                </c:pt>
                <c:pt idx="22">
                  <c:v>Sociofilosóficos</c:v>
                </c:pt>
                <c:pt idx="23">
                  <c:v>Trabajo de grado</c:v>
                </c:pt>
                <c:pt idx="24">
                  <c:v>Tutoría</c:v>
                </c:pt>
              </c:strCache>
            </c:strRef>
          </c:cat>
          <c:val>
            <c:numRef>
              <c:f>'[Veamos 2.xlsx]Hoja2'!$P$125:$P$149</c:f>
              <c:numCache>
                <c:formatCode>General</c:formatCode>
                <c:ptCount val="25"/>
                <c:pt idx="0">
                  <c:v>1.2919896640826874E-3</c:v>
                </c:pt>
                <c:pt idx="1">
                  <c:v>0</c:v>
                </c:pt>
                <c:pt idx="2">
                  <c:v>0</c:v>
                </c:pt>
                <c:pt idx="3">
                  <c:v>6.4599483204134363E-3</c:v>
                </c:pt>
                <c:pt idx="4">
                  <c:v>0</c:v>
                </c:pt>
                <c:pt idx="5">
                  <c:v>1.0335917312661499E-2</c:v>
                </c:pt>
                <c:pt idx="6">
                  <c:v>2.5839793281653748E-3</c:v>
                </c:pt>
                <c:pt idx="7">
                  <c:v>0</c:v>
                </c:pt>
                <c:pt idx="8">
                  <c:v>0</c:v>
                </c:pt>
                <c:pt idx="9">
                  <c:v>3.875968992248062E-3</c:v>
                </c:pt>
                <c:pt idx="10">
                  <c:v>3.875968992248062E-3</c:v>
                </c:pt>
                <c:pt idx="11">
                  <c:v>1.2919896640826874E-3</c:v>
                </c:pt>
                <c:pt idx="12">
                  <c:v>1.2919896640826874E-3</c:v>
                </c:pt>
                <c:pt idx="13">
                  <c:v>2.5839793281653748E-3</c:v>
                </c:pt>
                <c:pt idx="14">
                  <c:v>1.2919896640826874E-3</c:v>
                </c:pt>
                <c:pt idx="15">
                  <c:v>0</c:v>
                </c:pt>
                <c:pt idx="16">
                  <c:v>1.2919896640826874E-3</c:v>
                </c:pt>
                <c:pt idx="17">
                  <c:v>3.875968992248062E-3</c:v>
                </c:pt>
                <c:pt idx="18">
                  <c:v>1.2919896640826873E-2</c:v>
                </c:pt>
                <c:pt idx="19">
                  <c:v>1.2919896640826874E-3</c:v>
                </c:pt>
                <c:pt idx="20">
                  <c:v>2.1963824289405683E-2</c:v>
                </c:pt>
                <c:pt idx="21">
                  <c:v>1.2919896640826874E-3</c:v>
                </c:pt>
                <c:pt idx="22">
                  <c:v>3.2299741602067181E-2</c:v>
                </c:pt>
                <c:pt idx="23">
                  <c:v>0</c:v>
                </c:pt>
                <c:pt idx="24">
                  <c:v>2.5839793281653748E-3</c:v>
                </c:pt>
              </c:numCache>
            </c:numRef>
          </c:val>
          <c:extLst>
            <c:ext xmlns:c16="http://schemas.microsoft.com/office/drawing/2014/chart" uri="{C3380CC4-5D6E-409C-BE32-E72D297353CC}">
              <c16:uniqueId val="{00000005-CDF6-4D8E-AE67-EF9E7516728B}"/>
            </c:ext>
          </c:extLst>
        </c:ser>
        <c:ser>
          <c:idx val="6"/>
          <c:order val="6"/>
          <c:tx>
            <c:strRef>
              <c:f>'[Veamos 2.xlsx]Hoja2'!$Q$124</c:f>
              <c:strCache>
                <c:ptCount val="1"/>
                <c:pt idx="0">
                  <c:v>CoP - G</c:v>
                </c:pt>
              </c:strCache>
            </c:strRef>
          </c:tx>
          <c:spPr>
            <a:solidFill>
              <a:schemeClr val="accent1">
                <a:lumMod val="60000"/>
              </a:schemeClr>
            </a:solidFill>
            <a:ln>
              <a:noFill/>
            </a:ln>
            <a:effectLst/>
            <a:sp3d/>
          </c:spPr>
          <c:invertIfNegative val="0"/>
          <c:cat>
            <c:strRef>
              <c:f>'[Veamos 2.xlsx]Hoja2'!$J$125:$J$149</c:f>
              <c:strCache>
                <c:ptCount val="25"/>
                <c:pt idx="0">
                  <c:v>Acreditación</c:v>
                </c:pt>
                <c:pt idx="1">
                  <c:v>Educ. a Distancia</c:v>
                </c:pt>
                <c:pt idx="2">
                  <c:v>Educ. Dual</c:v>
                </c:pt>
                <c:pt idx="3">
                  <c:v>Educ. en valores</c:v>
                </c:pt>
                <c:pt idx="4">
                  <c:v>Educ. Online</c:v>
                </c:pt>
                <c:pt idx="5">
                  <c:v>Educ. Postgraduada</c:v>
                </c:pt>
                <c:pt idx="6">
                  <c:v>Emprendimiento</c:v>
                </c:pt>
                <c:pt idx="7">
                  <c:v>Enseñanza Experimental</c:v>
                </c:pt>
                <c:pt idx="8">
                  <c:v>Espacio común de formación</c:v>
                </c:pt>
                <c:pt idx="9">
                  <c:v>Evaluación de Impacto</c:v>
                </c:pt>
                <c:pt idx="10">
                  <c:v>Extensión Universitaria</c:v>
                </c:pt>
                <c:pt idx="11">
                  <c:v>Formación humanista</c:v>
                </c:pt>
                <c:pt idx="12">
                  <c:v>Formación Integral</c:v>
                </c:pt>
                <c:pt idx="13">
                  <c:v>Gestión</c:v>
                </c:pt>
                <c:pt idx="14">
                  <c:v>Habilidades</c:v>
                </c:pt>
                <c:pt idx="15">
                  <c:v>Innovación Educativa</c:v>
                </c:pt>
                <c:pt idx="16">
                  <c:v>Internacionalización</c:v>
                </c:pt>
                <c:pt idx="17">
                  <c:v>Orientación Vocacional</c:v>
                </c:pt>
                <c:pt idx="18">
                  <c:v>Permanencia - progreso</c:v>
                </c:pt>
                <c:pt idx="19">
                  <c:v>Residencia</c:v>
                </c:pt>
                <c:pt idx="20">
                  <c:v>RSU</c:v>
                </c:pt>
                <c:pt idx="21">
                  <c:v>Seguimiento al Graduado</c:v>
                </c:pt>
                <c:pt idx="22">
                  <c:v>Sociofilosóficos</c:v>
                </c:pt>
                <c:pt idx="23">
                  <c:v>Trabajo de grado</c:v>
                </c:pt>
                <c:pt idx="24">
                  <c:v>Tutoría</c:v>
                </c:pt>
              </c:strCache>
            </c:strRef>
          </c:cat>
          <c:val>
            <c:numRef>
              <c:f>'[Veamos 2.xlsx]Hoja2'!$Q$125:$Q$149</c:f>
              <c:numCache>
                <c:formatCode>General</c:formatCode>
                <c:ptCount val="25"/>
                <c:pt idx="0">
                  <c:v>5.1679586563307496E-3</c:v>
                </c:pt>
                <c:pt idx="1">
                  <c:v>0</c:v>
                </c:pt>
                <c:pt idx="2">
                  <c:v>0</c:v>
                </c:pt>
                <c:pt idx="3">
                  <c:v>5.1679586563307496E-3</c:v>
                </c:pt>
                <c:pt idx="4">
                  <c:v>2.5839793281653745E-2</c:v>
                </c:pt>
                <c:pt idx="5">
                  <c:v>3.875968992248062E-3</c:v>
                </c:pt>
                <c:pt idx="6">
                  <c:v>6.4599483204134363E-3</c:v>
                </c:pt>
                <c:pt idx="7">
                  <c:v>3.875968992248062E-3</c:v>
                </c:pt>
                <c:pt idx="8">
                  <c:v>3.875968992248062E-3</c:v>
                </c:pt>
                <c:pt idx="9">
                  <c:v>9.0439276485788107E-3</c:v>
                </c:pt>
                <c:pt idx="10">
                  <c:v>0</c:v>
                </c:pt>
                <c:pt idx="11">
                  <c:v>0</c:v>
                </c:pt>
                <c:pt idx="12">
                  <c:v>0</c:v>
                </c:pt>
                <c:pt idx="13">
                  <c:v>2.5839793281653748E-3</c:v>
                </c:pt>
                <c:pt idx="14">
                  <c:v>9.0439276485788107E-3</c:v>
                </c:pt>
                <c:pt idx="15">
                  <c:v>3.875968992248062E-3</c:v>
                </c:pt>
                <c:pt idx="16">
                  <c:v>2.5839793281653748E-3</c:v>
                </c:pt>
                <c:pt idx="17">
                  <c:v>2.5839793281653748E-3</c:v>
                </c:pt>
                <c:pt idx="18">
                  <c:v>2.5839793281653748E-3</c:v>
                </c:pt>
                <c:pt idx="19">
                  <c:v>0</c:v>
                </c:pt>
                <c:pt idx="20">
                  <c:v>3.875968992248062E-3</c:v>
                </c:pt>
                <c:pt idx="21">
                  <c:v>3.875968992248062E-3</c:v>
                </c:pt>
                <c:pt idx="22">
                  <c:v>2.0671834625322998E-2</c:v>
                </c:pt>
                <c:pt idx="23">
                  <c:v>1.2919896640826874E-3</c:v>
                </c:pt>
                <c:pt idx="24">
                  <c:v>3.875968992248062E-3</c:v>
                </c:pt>
              </c:numCache>
            </c:numRef>
          </c:val>
          <c:extLst>
            <c:ext xmlns:c16="http://schemas.microsoft.com/office/drawing/2014/chart" uri="{C3380CC4-5D6E-409C-BE32-E72D297353CC}">
              <c16:uniqueId val="{00000006-CDF6-4D8E-AE67-EF9E7516728B}"/>
            </c:ext>
          </c:extLst>
        </c:ser>
        <c:ser>
          <c:idx val="7"/>
          <c:order val="7"/>
          <c:tx>
            <c:strRef>
              <c:f>'[Veamos 2.xlsx]Hoja2'!$R$124</c:f>
              <c:strCache>
                <c:ptCount val="1"/>
                <c:pt idx="0">
                  <c:v>CoP - H</c:v>
                </c:pt>
              </c:strCache>
            </c:strRef>
          </c:tx>
          <c:spPr>
            <a:solidFill>
              <a:schemeClr val="accent2">
                <a:lumMod val="60000"/>
              </a:schemeClr>
            </a:solidFill>
            <a:ln>
              <a:noFill/>
            </a:ln>
            <a:effectLst/>
            <a:sp3d/>
          </c:spPr>
          <c:invertIfNegative val="0"/>
          <c:cat>
            <c:strRef>
              <c:f>'[Veamos 2.xlsx]Hoja2'!$J$125:$J$149</c:f>
              <c:strCache>
                <c:ptCount val="25"/>
                <c:pt idx="0">
                  <c:v>Acreditación</c:v>
                </c:pt>
                <c:pt idx="1">
                  <c:v>Educ. a Distancia</c:v>
                </c:pt>
                <c:pt idx="2">
                  <c:v>Educ. Dual</c:v>
                </c:pt>
                <c:pt idx="3">
                  <c:v>Educ. en valores</c:v>
                </c:pt>
                <c:pt idx="4">
                  <c:v>Educ. Online</c:v>
                </c:pt>
                <c:pt idx="5">
                  <c:v>Educ. Postgraduada</c:v>
                </c:pt>
                <c:pt idx="6">
                  <c:v>Emprendimiento</c:v>
                </c:pt>
                <c:pt idx="7">
                  <c:v>Enseñanza Experimental</c:v>
                </c:pt>
                <c:pt idx="8">
                  <c:v>Espacio común de formación</c:v>
                </c:pt>
                <c:pt idx="9">
                  <c:v>Evaluación de Impacto</c:v>
                </c:pt>
                <c:pt idx="10">
                  <c:v>Extensión Universitaria</c:v>
                </c:pt>
                <c:pt idx="11">
                  <c:v>Formación humanista</c:v>
                </c:pt>
                <c:pt idx="12">
                  <c:v>Formación Integral</c:v>
                </c:pt>
                <c:pt idx="13">
                  <c:v>Gestión</c:v>
                </c:pt>
                <c:pt idx="14">
                  <c:v>Habilidades</c:v>
                </c:pt>
                <c:pt idx="15">
                  <c:v>Innovación Educativa</c:v>
                </c:pt>
                <c:pt idx="16">
                  <c:v>Internacionalización</c:v>
                </c:pt>
                <c:pt idx="17">
                  <c:v>Orientación Vocacional</c:v>
                </c:pt>
                <c:pt idx="18">
                  <c:v>Permanencia - progreso</c:v>
                </c:pt>
                <c:pt idx="19">
                  <c:v>Residencia</c:v>
                </c:pt>
                <c:pt idx="20">
                  <c:v>RSU</c:v>
                </c:pt>
                <c:pt idx="21">
                  <c:v>Seguimiento al Graduado</c:v>
                </c:pt>
                <c:pt idx="22">
                  <c:v>Sociofilosóficos</c:v>
                </c:pt>
                <c:pt idx="23">
                  <c:v>Trabajo de grado</c:v>
                </c:pt>
                <c:pt idx="24">
                  <c:v>Tutoría</c:v>
                </c:pt>
              </c:strCache>
            </c:strRef>
          </c:cat>
          <c:val>
            <c:numRef>
              <c:f>'[Veamos 2.xlsx]Hoja2'!$R$125:$R$149</c:f>
              <c:numCache>
                <c:formatCode>General</c:formatCode>
                <c:ptCount val="25"/>
                <c:pt idx="0">
                  <c:v>0</c:v>
                </c:pt>
                <c:pt idx="1">
                  <c:v>0</c:v>
                </c:pt>
                <c:pt idx="2">
                  <c:v>0</c:v>
                </c:pt>
                <c:pt idx="3">
                  <c:v>0</c:v>
                </c:pt>
                <c:pt idx="4">
                  <c:v>2.8423772609819122E-2</c:v>
                </c:pt>
                <c:pt idx="5">
                  <c:v>5.1679586563307496E-3</c:v>
                </c:pt>
                <c:pt idx="6">
                  <c:v>1.2919896640826874E-3</c:v>
                </c:pt>
                <c:pt idx="7">
                  <c:v>3.3591731266149873E-2</c:v>
                </c:pt>
                <c:pt idx="8">
                  <c:v>0</c:v>
                </c:pt>
                <c:pt idx="9">
                  <c:v>2.0671834625322998E-2</c:v>
                </c:pt>
                <c:pt idx="10">
                  <c:v>0</c:v>
                </c:pt>
                <c:pt idx="11">
                  <c:v>2.5839793281653748E-3</c:v>
                </c:pt>
                <c:pt idx="12">
                  <c:v>2.5839793281653748E-3</c:v>
                </c:pt>
                <c:pt idx="13">
                  <c:v>0</c:v>
                </c:pt>
                <c:pt idx="14">
                  <c:v>2.5839793281653748E-3</c:v>
                </c:pt>
                <c:pt idx="15">
                  <c:v>2.5839793281653748E-3</c:v>
                </c:pt>
                <c:pt idx="16">
                  <c:v>3.875968992248062E-3</c:v>
                </c:pt>
                <c:pt idx="17">
                  <c:v>3.875968992248062E-3</c:v>
                </c:pt>
                <c:pt idx="18">
                  <c:v>6.4599483204134363E-3</c:v>
                </c:pt>
                <c:pt idx="19">
                  <c:v>1.2919896640826874E-3</c:v>
                </c:pt>
                <c:pt idx="20">
                  <c:v>0</c:v>
                </c:pt>
                <c:pt idx="21">
                  <c:v>1.2919896640826874E-3</c:v>
                </c:pt>
                <c:pt idx="22">
                  <c:v>6.4599483204134363E-3</c:v>
                </c:pt>
                <c:pt idx="23">
                  <c:v>3.875968992248062E-3</c:v>
                </c:pt>
                <c:pt idx="24">
                  <c:v>2.5839793281653748E-3</c:v>
                </c:pt>
              </c:numCache>
            </c:numRef>
          </c:val>
          <c:extLst>
            <c:ext xmlns:c16="http://schemas.microsoft.com/office/drawing/2014/chart" uri="{C3380CC4-5D6E-409C-BE32-E72D297353CC}">
              <c16:uniqueId val="{00000007-CDF6-4D8E-AE67-EF9E7516728B}"/>
            </c:ext>
          </c:extLst>
        </c:ser>
        <c:dLbls>
          <c:showLegendKey val="0"/>
          <c:showVal val="0"/>
          <c:showCatName val="0"/>
          <c:showSerName val="0"/>
          <c:showPercent val="0"/>
          <c:showBubbleSize val="0"/>
        </c:dLbls>
        <c:gapWidth val="150"/>
        <c:shape val="box"/>
        <c:axId val="672767792"/>
        <c:axId val="672764880"/>
        <c:axId val="713629216"/>
      </c:bar3DChart>
      <c:catAx>
        <c:axId val="672767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2764880"/>
        <c:crosses val="autoZero"/>
        <c:auto val="1"/>
        <c:lblAlgn val="ctr"/>
        <c:lblOffset val="100"/>
        <c:noMultiLvlLbl val="0"/>
      </c:catAx>
      <c:valAx>
        <c:axId val="67276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2767792"/>
        <c:crosses val="autoZero"/>
        <c:crossBetween val="between"/>
      </c:valAx>
      <c:serAx>
        <c:axId val="71362921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727648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4443-DB08-4C95-85CF-7501E708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5031</Words>
  <Characters>27674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dc:creator>
  <cp:keywords/>
  <dc:description/>
  <cp:lastModifiedBy>admin</cp:lastModifiedBy>
  <cp:revision>6</cp:revision>
  <cp:lastPrinted>2021-11-05T19:37:00Z</cp:lastPrinted>
  <dcterms:created xsi:type="dcterms:W3CDTF">2025-08-29T11:19:00Z</dcterms:created>
  <dcterms:modified xsi:type="dcterms:W3CDTF">2025-08-29T11:49:00Z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ies>
</file>